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83" w:rsidRPr="00A17283" w:rsidRDefault="00A05A1F" w:rsidP="007D31E6">
      <w:pPr>
        <w:pStyle w:val="Heading1"/>
        <w:rPr>
          <w:lang w:val="en-US"/>
        </w:rPr>
      </w:pPr>
      <w:r>
        <w:rPr>
          <w:lang w:val="en-US"/>
        </w:rPr>
        <w:t>THÔNG BÁO BỔ SUNG LẦN</w:t>
      </w:r>
      <w:r w:rsidR="00A17283">
        <w:rPr>
          <w:lang w:val="en-US"/>
        </w:rPr>
        <w:t xml:space="preserve"> 1 C</w:t>
      </w:r>
      <w:r w:rsidR="00A17283">
        <w:rPr>
          <w:rFonts w:ascii="Calibri" w:hAnsi="Calibri" w:cs="Calibri"/>
          <w:lang w:val="en-US"/>
        </w:rPr>
        <w:t>Ủ</w:t>
      </w:r>
      <w:r w:rsidR="00A17283">
        <w:rPr>
          <w:lang w:val="en-US"/>
        </w:rPr>
        <w:t>A TH</w:t>
      </w:r>
      <w:r w:rsidR="00A17283">
        <w:rPr>
          <w:rFonts w:ascii="Calibri" w:hAnsi="Calibri" w:cs="Calibri"/>
          <w:lang w:val="en-US"/>
        </w:rPr>
        <w:t>Ư</w:t>
      </w:r>
      <w:r w:rsidR="00A17283">
        <w:rPr>
          <w:lang w:val="en-US"/>
        </w:rPr>
        <w:t xml:space="preserve"> M</w:t>
      </w:r>
      <w:r w:rsidR="00A17283">
        <w:rPr>
          <w:rFonts w:ascii="Calibri" w:hAnsi="Calibri" w:cs="Calibri"/>
          <w:lang w:val="en-US"/>
        </w:rPr>
        <w:t>Ờ</w:t>
      </w:r>
      <w:r w:rsidR="00A17283">
        <w:rPr>
          <w:lang w:val="en-US"/>
        </w:rPr>
        <w:t>I N</w:t>
      </w:r>
      <w:r w:rsidR="00A17283">
        <w:rPr>
          <w:rFonts w:ascii="Calibri" w:hAnsi="Calibri" w:cs="Calibri"/>
          <w:lang w:val="en-US"/>
        </w:rPr>
        <w:t>Ộ</w:t>
      </w:r>
      <w:r w:rsidR="00A17283">
        <w:rPr>
          <w:lang w:val="en-US"/>
        </w:rPr>
        <w:t xml:space="preserve">P </w:t>
      </w:r>
      <w:r w:rsidR="00A17283">
        <w:rPr>
          <w:rFonts w:ascii="Calibri" w:hAnsi="Calibri" w:cs="Calibri"/>
          <w:lang w:val="en-US"/>
        </w:rPr>
        <w:t>ĐỀ</w:t>
      </w:r>
      <w:r w:rsidR="00A17283">
        <w:rPr>
          <w:lang w:val="en-US"/>
        </w:rPr>
        <w:t xml:space="preserve"> XU</w:t>
      </w:r>
      <w:r w:rsidR="00A17283">
        <w:rPr>
          <w:rFonts w:ascii="Calibri" w:hAnsi="Calibri" w:cs="Calibri"/>
          <w:lang w:val="en-US"/>
        </w:rPr>
        <w:t>Ấ</w:t>
      </w:r>
      <w:r w:rsidR="00A17283">
        <w:rPr>
          <w:lang w:val="en-US"/>
        </w:rPr>
        <w:t>T K</w:t>
      </w:r>
      <w:r w:rsidR="00A17283">
        <w:rPr>
          <w:rFonts w:ascii="Calibri" w:hAnsi="Calibri" w:cs="Calibri"/>
          <w:lang w:val="en-US"/>
        </w:rPr>
        <w:t>Ỹ</w:t>
      </w:r>
      <w:r w:rsidR="00A17283">
        <w:rPr>
          <w:lang w:val="en-US"/>
        </w:rPr>
        <w:t xml:space="preserve"> THU</w:t>
      </w:r>
      <w:r w:rsidR="00A17283">
        <w:rPr>
          <w:rFonts w:ascii="Calibri" w:hAnsi="Calibri" w:cs="Calibri"/>
          <w:lang w:val="en-US"/>
        </w:rPr>
        <w:t>Ậ</w:t>
      </w:r>
      <w:r w:rsidR="00A17283">
        <w:rPr>
          <w:lang w:val="en-US"/>
        </w:rPr>
        <w:t>T C</w:t>
      </w:r>
      <w:r w:rsidR="00A17283">
        <w:rPr>
          <w:rFonts w:ascii="Leelawadee" w:hAnsi="Leelawadee" w:cs="Leelawadee"/>
          <w:lang w:val="en-US"/>
        </w:rPr>
        <w:t>Ô</w:t>
      </w:r>
      <w:r w:rsidR="00A17283">
        <w:rPr>
          <w:lang w:val="en-US"/>
        </w:rPr>
        <w:t>NG B</w:t>
      </w:r>
      <w:r w:rsidR="00A17283">
        <w:rPr>
          <w:rFonts w:ascii="Calibri" w:hAnsi="Calibri" w:cs="Calibri"/>
          <w:lang w:val="en-US"/>
        </w:rPr>
        <w:t>Ố</w:t>
      </w:r>
      <w:r w:rsidR="00A17283">
        <w:rPr>
          <w:lang w:val="en-US"/>
        </w:rPr>
        <w:t xml:space="preserve"> NG</w:t>
      </w:r>
      <w:r w:rsidR="00A17283">
        <w:rPr>
          <w:rFonts w:ascii="Leelawadee" w:hAnsi="Leelawadee" w:cs="Leelawadee"/>
          <w:lang w:val="en-US"/>
        </w:rPr>
        <w:t>À</w:t>
      </w:r>
      <w:r w:rsidR="00A17283">
        <w:rPr>
          <w:lang w:val="en-US"/>
        </w:rPr>
        <w:t>Y 31 TH</w:t>
      </w:r>
      <w:r w:rsidR="00A17283">
        <w:rPr>
          <w:rFonts w:ascii="Leelawadee" w:hAnsi="Leelawadee" w:cs="Leelawadee"/>
          <w:lang w:val="en-US"/>
        </w:rPr>
        <w:t>Á</w:t>
      </w:r>
      <w:r w:rsidR="00A17283">
        <w:rPr>
          <w:lang w:val="en-US"/>
        </w:rPr>
        <w:t>NG 3 N</w:t>
      </w:r>
      <w:r w:rsidR="00A17283">
        <w:rPr>
          <w:rFonts w:ascii="Calibri" w:hAnsi="Calibri" w:cs="Calibri"/>
          <w:lang w:val="en-US"/>
        </w:rPr>
        <w:t>Ă</w:t>
      </w:r>
      <w:r w:rsidR="00A17283">
        <w:rPr>
          <w:lang w:val="en-US"/>
        </w:rPr>
        <w:t>M 2017</w:t>
      </w:r>
      <w:r w:rsidR="007D31E6">
        <w:rPr>
          <w:lang w:val="en-US"/>
        </w:rPr>
        <w:t xml:space="preserve"> </w:t>
      </w:r>
      <w:r w:rsidR="00A17283">
        <w:rPr>
          <w:lang w:val="en-US"/>
        </w:rPr>
        <w:t>T</w:t>
      </w:r>
      <w:r w:rsidR="00A17283">
        <w:rPr>
          <w:rFonts w:ascii="Calibri" w:hAnsi="Calibri" w:cs="Calibri"/>
          <w:lang w:val="en-US"/>
        </w:rPr>
        <w:t>Ừ</w:t>
      </w:r>
      <w:r w:rsidR="00A17283">
        <w:rPr>
          <w:lang w:val="en-US"/>
        </w:rPr>
        <w:t xml:space="preserve"> D</w:t>
      </w:r>
      <w:r w:rsidR="00A17283">
        <w:rPr>
          <w:rFonts w:ascii="Calibri" w:hAnsi="Calibri" w:cs="Calibri"/>
          <w:lang w:val="en-US"/>
        </w:rPr>
        <w:t>Ự</w:t>
      </w:r>
      <w:r w:rsidR="00A17283">
        <w:rPr>
          <w:lang w:val="en-US"/>
        </w:rPr>
        <w:t xml:space="preserve"> </w:t>
      </w:r>
      <w:r w:rsidR="00A17283">
        <w:rPr>
          <w:rFonts w:ascii="Leelawadee" w:hAnsi="Leelawadee" w:cs="Leelawadee"/>
          <w:lang w:val="en-US"/>
        </w:rPr>
        <w:t>Á</w:t>
      </w:r>
      <w:r w:rsidR="00A17283">
        <w:rPr>
          <w:lang w:val="en-US"/>
        </w:rPr>
        <w:t>N S</w:t>
      </w:r>
      <w:r w:rsidR="00A17283">
        <w:rPr>
          <w:rFonts w:ascii="Calibri" w:hAnsi="Calibri" w:cs="Calibri"/>
          <w:lang w:val="en-US"/>
        </w:rPr>
        <w:t>Ả</w:t>
      </w:r>
      <w:r w:rsidR="00A17283">
        <w:rPr>
          <w:lang w:val="en-US"/>
        </w:rPr>
        <w:t>N XU</w:t>
      </w:r>
      <w:r w:rsidR="00A17283">
        <w:rPr>
          <w:rFonts w:ascii="Calibri" w:hAnsi="Calibri" w:cs="Calibri"/>
          <w:lang w:val="en-US"/>
        </w:rPr>
        <w:t>Ấ</w:t>
      </w:r>
      <w:r w:rsidR="00A17283">
        <w:rPr>
          <w:lang w:val="en-US"/>
        </w:rPr>
        <w:t>T L</w:t>
      </w:r>
      <w:r w:rsidR="00A17283">
        <w:rPr>
          <w:rFonts w:ascii="Leelawadee" w:hAnsi="Leelawadee" w:cs="Leelawadee"/>
          <w:lang w:val="en-US"/>
        </w:rPr>
        <w:t>Ú</w:t>
      </w:r>
      <w:r w:rsidR="00A17283">
        <w:rPr>
          <w:lang w:val="en-US"/>
        </w:rPr>
        <w:t>A B</w:t>
      </w:r>
      <w:r w:rsidR="00A17283">
        <w:rPr>
          <w:rFonts w:ascii="Calibri" w:hAnsi="Calibri" w:cs="Calibri"/>
          <w:lang w:val="en-US"/>
        </w:rPr>
        <w:t>Ề</w:t>
      </w:r>
      <w:r w:rsidR="00A17283">
        <w:rPr>
          <w:lang w:val="en-US"/>
        </w:rPr>
        <w:t>N V</w:t>
      </w:r>
      <w:r w:rsidR="00A17283">
        <w:rPr>
          <w:rFonts w:ascii="Calibri" w:hAnsi="Calibri" w:cs="Calibri"/>
          <w:lang w:val="en-US"/>
        </w:rPr>
        <w:t>Ữ</w:t>
      </w:r>
      <w:r w:rsidR="00A17283">
        <w:rPr>
          <w:lang w:val="en-US"/>
        </w:rPr>
        <w:t>NG V</w:t>
      </w:r>
      <w:r w:rsidR="00A17283">
        <w:rPr>
          <w:rFonts w:ascii="Leelawadee" w:hAnsi="Leelawadee" w:cs="Leelawadee"/>
          <w:lang w:val="en-US"/>
        </w:rPr>
        <w:t>À</w:t>
      </w:r>
      <w:r w:rsidR="00A17283">
        <w:rPr>
          <w:lang w:val="en-US"/>
        </w:rPr>
        <w:t xml:space="preserve"> GI</w:t>
      </w:r>
      <w:r w:rsidR="00A17283">
        <w:rPr>
          <w:rFonts w:ascii="Calibri" w:hAnsi="Calibri" w:cs="Calibri"/>
          <w:lang w:val="en-US"/>
        </w:rPr>
        <w:t>Ả</w:t>
      </w:r>
      <w:r w:rsidR="00A17283">
        <w:rPr>
          <w:lang w:val="en-US"/>
        </w:rPr>
        <w:t>M PH</w:t>
      </w:r>
      <w:r w:rsidR="00A17283">
        <w:rPr>
          <w:rFonts w:ascii="Leelawadee" w:hAnsi="Leelawadee" w:cs="Leelawadee"/>
          <w:lang w:val="en-US"/>
        </w:rPr>
        <w:t>Á</w:t>
      </w:r>
      <w:r w:rsidR="00A17283">
        <w:rPr>
          <w:lang w:val="en-US"/>
        </w:rPr>
        <w:t>T TH</w:t>
      </w:r>
      <w:r w:rsidR="00A17283">
        <w:rPr>
          <w:rFonts w:ascii="Calibri" w:hAnsi="Calibri" w:cs="Calibri"/>
          <w:lang w:val="en-US"/>
        </w:rPr>
        <w:t>Ả</w:t>
      </w:r>
      <w:r w:rsidR="00A17283">
        <w:rPr>
          <w:lang w:val="en-US"/>
        </w:rPr>
        <w:t>I KH</w:t>
      </w:r>
      <w:r w:rsidR="00A17283">
        <w:rPr>
          <w:rFonts w:ascii="Leelawadee" w:hAnsi="Leelawadee" w:cs="Leelawadee"/>
          <w:lang w:val="en-US"/>
        </w:rPr>
        <w:t>Í</w:t>
      </w:r>
      <w:r w:rsidR="00A17283">
        <w:rPr>
          <w:lang w:val="en-US"/>
        </w:rPr>
        <w:t xml:space="preserve"> NH</w:t>
      </w:r>
      <w:r w:rsidR="00A17283">
        <w:rPr>
          <w:rFonts w:ascii="Leelawadee" w:hAnsi="Leelawadee" w:cs="Leelawadee"/>
          <w:lang w:val="en-US"/>
        </w:rPr>
        <w:t>À</w:t>
      </w:r>
      <w:r w:rsidR="00A17283">
        <w:rPr>
          <w:lang w:val="en-US"/>
        </w:rPr>
        <w:t xml:space="preserve"> K</w:t>
      </w:r>
      <w:r w:rsidR="00A17283">
        <w:rPr>
          <w:rFonts w:ascii="Leelawadee" w:hAnsi="Leelawadee" w:cs="Leelawadee"/>
          <w:lang w:val="en-US"/>
        </w:rPr>
        <w:t>Í</w:t>
      </w:r>
      <w:r w:rsidR="00A17283">
        <w:rPr>
          <w:lang w:val="en-US"/>
        </w:rPr>
        <w:t>NH AGRESULTS (AVERP)</w:t>
      </w:r>
    </w:p>
    <w:p w:rsidR="001314D2" w:rsidRPr="00FD7DEC" w:rsidRDefault="004603C5" w:rsidP="00496C7C">
      <w:pPr>
        <w:pStyle w:val="Heading2"/>
        <w:numPr>
          <w:ilvl w:val="0"/>
          <w:numId w:val="4"/>
        </w:numPr>
        <w:spacing w:before="100" w:after="100" w:line="240" w:lineRule="auto"/>
        <w:ind w:hanging="720"/>
        <w:jc w:val="both"/>
        <w:rPr>
          <w:lang w:val="en-US"/>
        </w:rPr>
      </w:pPr>
      <w:r>
        <w:rPr>
          <w:lang w:val="en-US"/>
        </w:rPr>
        <w:t>Hội thảo Hướng dẫn điền Hồ sơ kỹ thuật</w:t>
      </w:r>
    </w:p>
    <w:p w:rsidR="000201BA" w:rsidRDefault="000201BA" w:rsidP="00B92010">
      <w:pPr>
        <w:spacing w:before="100" w:after="100" w:line="240" w:lineRule="auto"/>
        <w:jc w:val="both"/>
        <w:rPr>
          <w:rFonts w:ascii="Calibri" w:hAnsi="Calibri"/>
          <w:sz w:val="22"/>
          <w:lang w:val="en-US"/>
        </w:rPr>
      </w:pPr>
      <w:r>
        <w:rPr>
          <w:rFonts w:ascii="Calibri" w:hAnsi="Calibri"/>
          <w:sz w:val="22"/>
          <w:lang w:val="en-US"/>
        </w:rPr>
        <w:t xml:space="preserve">Để đáp lại yêu cầu bằng văn bản của các Đơn vị </w:t>
      </w:r>
      <w:r w:rsidR="00603178">
        <w:rPr>
          <w:rFonts w:ascii="Calibri" w:hAnsi="Calibri"/>
          <w:sz w:val="22"/>
          <w:lang w:val="en-US"/>
        </w:rPr>
        <w:t>quan tâm tham gia cuộc thi của dự án AVERP</w:t>
      </w:r>
      <w:r>
        <w:rPr>
          <w:rFonts w:ascii="Calibri" w:hAnsi="Calibri"/>
          <w:sz w:val="22"/>
          <w:lang w:val="en-US"/>
        </w:rPr>
        <w:t xml:space="preserve">, vào </w:t>
      </w:r>
      <w:r w:rsidR="00A05A1F">
        <w:rPr>
          <w:rFonts w:ascii="Calibri" w:hAnsi="Calibri"/>
          <w:sz w:val="22"/>
          <w:lang w:val="en-US"/>
        </w:rPr>
        <w:t xml:space="preserve">ngày 11 </w:t>
      </w:r>
      <w:r>
        <w:rPr>
          <w:rFonts w:ascii="Calibri" w:hAnsi="Calibri"/>
          <w:sz w:val="22"/>
          <w:lang w:val="en-US"/>
        </w:rPr>
        <w:t xml:space="preserve">tháng </w:t>
      </w:r>
      <w:r w:rsidR="00A05A1F">
        <w:rPr>
          <w:rFonts w:ascii="Calibri" w:hAnsi="Calibri"/>
          <w:sz w:val="22"/>
          <w:lang w:val="en-US"/>
        </w:rPr>
        <w:t>4</w:t>
      </w:r>
      <w:r>
        <w:rPr>
          <w:rFonts w:ascii="Calibri" w:hAnsi="Calibri"/>
          <w:sz w:val="22"/>
          <w:lang w:val="en-US"/>
        </w:rPr>
        <w:t xml:space="preserve"> năm 2017, Cơ quan Quản lý dự án</w:t>
      </w:r>
      <w:r w:rsidR="00A05A1F">
        <w:rPr>
          <w:rFonts w:ascii="Calibri" w:hAnsi="Calibri"/>
          <w:sz w:val="22"/>
          <w:lang w:val="en-US"/>
        </w:rPr>
        <w:t xml:space="preserve"> SNV</w:t>
      </w:r>
      <w:r>
        <w:rPr>
          <w:rFonts w:ascii="Calibri" w:hAnsi="Calibri"/>
          <w:sz w:val="22"/>
          <w:lang w:val="en-US"/>
        </w:rPr>
        <w:t xml:space="preserve">, phối hợp với Trung tâm Khuyến nông </w:t>
      </w:r>
      <w:r w:rsidR="001D3627">
        <w:rPr>
          <w:rFonts w:ascii="Calibri" w:hAnsi="Calibri"/>
          <w:sz w:val="22"/>
          <w:lang w:val="en-US"/>
        </w:rPr>
        <w:t xml:space="preserve">tỉnh </w:t>
      </w:r>
      <w:r>
        <w:rPr>
          <w:rFonts w:ascii="Calibri" w:hAnsi="Calibri"/>
          <w:sz w:val="22"/>
          <w:lang w:val="en-US"/>
        </w:rPr>
        <w:t>Thái Bình và Viện Môi trường Nông nghiệp đã tổ chức một buổi Hướng dẫn điền Hồ sơ kỹ thuật.</w:t>
      </w:r>
      <w:r w:rsidR="007D31E6">
        <w:rPr>
          <w:rFonts w:ascii="Calibri" w:hAnsi="Calibri"/>
          <w:sz w:val="22"/>
          <w:lang w:val="en-US"/>
        </w:rPr>
        <w:t xml:space="preserve"> Thư mời tham gia buổi hướng dẫn này đã được gửi tới tất cả 120 tổ chức. Tổng cộng có 30 đại biểu tham dự, trong đó:</w:t>
      </w:r>
    </w:p>
    <w:p w:rsidR="007D31E6" w:rsidRDefault="0025416A" w:rsidP="00B92010">
      <w:pPr>
        <w:spacing w:before="100" w:after="100" w:line="240" w:lineRule="auto"/>
        <w:jc w:val="both"/>
        <w:rPr>
          <w:rFonts w:ascii="Calibri" w:hAnsi="Calibri"/>
          <w:sz w:val="22"/>
          <w:lang w:val="en-US"/>
        </w:rPr>
      </w:pPr>
      <w:r>
        <w:rPr>
          <w:rFonts w:ascii="Calibri" w:hAnsi="Calibri"/>
          <w:sz w:val="22"/>
          <w:lang w:val="en-US"/>
        </w:rPr>
        <w:t xml:space="preserve">Hợp tác xã: 7 HTX gồm </w:t>
      </w:r>
      <w:r w:rsidR="007D31E6">
        <w:rPr>
          <w:rFonts w:ascii="Calibri" w:hAnsi="Calibri"/>
          <w:sz w:val="22"/>
          <w:lang w:val="en-US"/>
        </w:rPr>
        <w:t>9 đại biểu</w:t>
      </w:r>
    </w:p>
    <w:p w:rsidR="007D31E6" w:rsidRDefault="0025416A" w:rsidP="00B92010">
      <w:pPr>
        <w:spacing w:before="100" w:after="100" w:line="240" w:lineRule="auto"/>
        <w:jc w:val="both"/>
        <w:rPr>
          <w:rFonts w:ascii="Calibri" w:hAnsi="Calibri"/>
          <w:sz w:val="22"/>
          <w:lang w:val="en-US"/>
        </w:rPr>
      </w:pPr>
      <w:r>
        <w:rPr>
          <w:rFonts w:ascii="Calibri" w:hAnsi="Calibri"/>
          <w:sz w:val="22"/>
          <w:lang w:val="en-US"/>
        </w:rPr>
        <w:t xml:space="preserve">Công ty: </w:t>
      </w:r>
      <w:r w:rsidR="007D31E6">
        <w:rPr>
          <w:rFonts w:ascii="Calibri" w:hAnsi="Calibri"/>
          <w:sz w:val="22"/>
          <w:lang w:val="en-US"/>
        </w:rPr>
        <w:t>11 công ty</w:t>
      </w:r>
      <w:r>
        <w:rPr>
          <w:rFonts w:ascii="Calibri" w:hAnsi="Calibri"/>
          <w:sz w:val="22"/>
          <w:lang w:val="en-US"/>
        </w:rPr>
        <w:t xml:space="preserve"> gồm 20 đại biểu</w:t>
      </w:r>
    </w:p>
    <w:p w:rsidR="007D31E6" w:rsidRPr="00FD7DEC" w:rsidRDefault="0025416A" w:rsidP="00B92010">
      <w:pPr>
        <w:spacing w:before="100" w:after="100" w:line="240" w:lineRule="auto"/>
        <w:jc w:val="both"/>
        <w:rPr>
          <w:rFonts w:ascii="Calibri" w:hAnsi="Calibri"/>
          <w:sz w:val="22"/>
          <w:lang w:val="en-US"/>
        </w:rPr>
      </w:pPr>
      <w:r>
        <w:rPr>
          <w:rFonts w:ascii="Calibri" w:hAnsi="Calibri"/>
          <w:sz w:val="22"/>
          <w:lang w:val="en-US"/>
        </w:rPr>
        <w:t xml:space="preserve">Viện: </w:t>
      </w:r>
      <w:r w:rsidR="007D31E6">
        <w:rPr>
          <w:rFonts w:ascii="Calibri" w:hAnsi="Calibri"/>
          <w:sz w:val="22"/>
          <w:lang w:val="en-US"/>
        </w:rPr>
        <w:t xml:space="preserve">1 đại biểu </w:t>
      </w:r>
    </w:p>
    <w:p w:rsidR="0033040A" w:rsidRPr="00FD7DEC" w:rsidRDefault="00315779" w:rsidP="00B92010">
      <w:pPr>
        <w:spacing w:before="100" w:after="100" w:line="240" w:lineRule="auto"/>
        <w:jc w:val="both"/>
        <w:rPr>
          <w:rFonts w:ascii="Calibri" w:hAnsi="Calibri"/>
          <w:sz w:val="22"/>
          <w:lang w:val="en-US"/>
        </w:rPr>
      </w:pPr>
      <w:r>
        <w:rPr>
          <w:rFonts w:ascii="Calibri" w:hAnsi="Calibri"/>
          <w:sz w:val="22"/>
          <w:lang w:val="en-US"/>
        </w:rPr>
        <w:t>Hai</w:t>
      </w:r>
      <w:r w:rsidR="0033040A">
        <w:rPr>
          <w:rFonts w:ascii="Calibri" w:hAnsi="Calibri"/>
          <w:sz w:val="22"/>
          <w:lang w:val="en-US"/>
        </w:rPr>
        <w:t xml:space="preserve"> mục tiêu</w:t>
      </w:r>
      <w:r>
        <w:rPr>
          <w:rFonts w:ascii="Calibri" w:hAnsi="Calibri"/>
          <w:sz w:val="22"/>
          <w:lang w:val="en-US"/>
        </w:rPr>
        <w:t xml:space="preserve"> chính của Hội thảo gồm:</w:t>
      </w:r>
    </w:p>
    <w:p w:rsidR="0033040A" w:rsidRPr="00FD7DEC" w:rsidRDefault="0033040A" w:rsidP="00865315">
      <w:pPr>
        <w:pStyle w:val="ListParagraph"/>
        <w:numPr>
          <w:ilvl w:val="0"/>
          <w:numId w:val="3"/>
        </w:numPr>
        <w:spacing w:before="100" w:after="100" w:line="240" w:lineRule="auto"/>
        <w:jc w:val="both"/>
        <w:rPr>
          <w:rFonts w:ascii="Calibri" w:hAnsi="Calibri"/>
          <w:sz w:val="22"/>
          <w:lang w:val="en-US"/>
        </w:rPr>
      </w:pPr>
      <w:r>
        <w:rPr>
          <w:rFonts w:ascii="Calibri" w:hAnsi="Calibri"/>
          <w:sz w:val="22"/>
          <w:lang w:val="en-US"/>
        </w:rPr>
        <w:t xml:space="preserve">Hướng dẫn và </w:t>
      </w:r>
      <w:r w:rsidR="00052AEF">
        <w:rPr>
          <w:rFonts w:ascii="Calibri" w:hAnsi="Calibri"/>
          <w:sz w:val="22"/>
          <w:lang w:val="en-US"/>
        </w:rPr>
        <w:t xml:space="preserve">cung cấp </w:t>
      </w:r>
      <w:r>
        <w:rPr>
          <w:rFonts w:ascii="Calibri" w:hAnsi="Calibri"/>
          <w:sz w:val="22"/>
          <w:lang w:val="en-US"/>
        </w:rPr>
        <w:t xml:space="preserve">một số ví dụ để giải quyết những vấn đề </w:t>
      </w:r>
      <w:r w:rsidRPr="0033040A">
        <w:rPr>
          <w:rFonts w:ascii="Calibri" w:hAnsi="Calibri"/>
          <w:sz w:val="22"/>
          <w:lang w:val="en-US"/>
        </w:rPr>
        <w:t xml:space="preserve">các Đơn vị tham gia </w:t>
      </w:r>
      <w:r>
        <w:rPr>
          <w:rFonts w:ascii="Calibri" w:hAnsi="Calibri"/>
          <w:sz w:val="22"/>
          <w:lang w:val="en-US"/>
        </w:rPr>
        <w:t xml:space="preserve">gặp phải khi </w:t>
      </w:r>
      <w:r w:rsidR="00AC5F96">
        <w:rPr>
          <w:rFonts w:ascii="Calibri" w:hAnsi="Calibri"/>
          <w:sz w:val="22"/>
          <w:lang w:val="en-US"/>
        </w:rPr>
        <w:t>điền</w:t>
      </w:r>
      <w:r>
        <w:rPr>
          <w:rFonts w:ascii="Calibri" w:hAnsi="Calibri"/>
          <w:sz w:val="22"/>
          <w:lang w:val="en-US"/>
        </w:rPr>
        <w:t xml:space="preserve"> các </w:t>
      </w:r>
      <w:r w:rsidR="00AC5F96">
        <w:rPr>
          <w:rFonts w:ascii="Calibri" w:hAnsi="Calibri"/>
          <w:sz w:val="22"/>
          <w:lang w:val="en-US"/>
        </w:rPr>
        <w:t>yêu cầu</w:t>
      </w:r>
      <w:r>
        <w:rPr>
          <w:rFonts w:ascii="Calibri" w:hAnsi="Calibri"/>
          <w:sz w:val="22"/>
          <w:lang w:val="en-US"/>
        </w:rPr>
        <w:t xml:space="preserve"> hành chính của Hồ sơ kỹ thuật (Phụ lục 1 của Thư mời nộp Đề xuất kỹ thuật); </w:t>
      </w:r>
      <w:r w:rsidR="00052AEF">
        <w:rPr>
          <w:rFonts w:ascii="Calibri" w:hAnsi="Calibri"/>
          <w:sz w:val="22"/>
          <w:lang w:val="en-US"/>
        </w:rPr>
        <w:t xml:space="preserve">cung cấp ví dụ </w:t>
      </w:r>
      <w:r w:rsidR="00DB6519">
        <w:rPr>
          <w:rFonts w:ascii="Calibri" w:hAnsi="Calibri"/>
          <w:sz w:val="22"/>
          <w:lang w:val="en-US"/>
        </w:rPr>
        <w:t xml:space="preserve">về kỹ thuật và </w:t>
      </w:r>
      <w:r w:rsidR="00586853">
        <w:rPr>
          <w:rFonts w:ascii="Calibri" w:hAnsi="Calibri"/>
          <w:sz w:val="22"/>
          <w:lang w:val="en-US"/>
        </w:rPr>
        <w:t>chỉ dẫn</w:t>
      </w:r>
      <w:r w:rsidR="00DB6519">
        <w:rPr>
          <w:rFonts w:ascii="Calibri" w:hAnsi="Calibri"/>
          <w:sz w:val="22"/>
          <w:lang w:val="en-US"/>
        </w:rPr>
        <w:t xml:space="preserve"> tham khảo đến các mục liên quan trong phần </w:t>
      </w:r>
      <w:r w:rsidR="003A055B">
        <w:rPr>
          <w:rFonts w:ascii="Calibri" w:hAnsi="Calibri"/>
          <w:sz w:val="22"/>
          <w:lang w:val="en-US"/>
        </w:rPr>
        <w:t xml:space="preserve">Báo cáo hiện trạng hệ thống canh tác lúa tại Thái Bình đến tất cả </w:t>
      </w:r>
      <w:r w:rsidR="00586853">
        <w:rPr>
          <w:rFonts w:ascii="Calibri" w:hAnsi="Calibri"/>
          <w:sz w:val="22"/>
          <w:lang w:val="en-US"/>
        </w:rPr>
        <w:t>đại biể</w:t>
      </w:r>
      <w:r w:rsidR="00EC4704">
        <w:rPr>
          <w:rFonts w:ascii="Calibri" w:hAnsi="Calibri"/>
          <w:sz w:val="22"/>
          <w:lang w:val="en-US"/>
        </w:rPr>
        <w:t>u</w:t>
      </w:r>
      <w:r w:rsidR="00EC53BA">
        <w:rPr>
          <w:rFonts w:ascii="Calibri" w:hAnsi="Calibri"/>
          <w:sz w:val="22"/>
          <w:lang w:val="en-US"/>
        </w:rPr>
        <w:t>.</w:t>
      </w:r>
    </w:p>
    <w:p w:rsidR="001A4B83" w:rsidRPr="00FD7DEC" w:rsidRDefault="001A4B83" w:rsidP="00DE7E6B">
      <w:pPr>
        <w:pStyle w:val="ListParagraph"/>
        <w:numPr>
          <w:ilvl w:val="0"/>
          <w:numId w:val="3"/>
        </w:numPr>
        <w:spacing w:before="100" w:after="100" w:line="240" w:lineRule="auto"/>
        <w:jc w:val="both"/>
        <w:rPr>
          <w:rFonts w:ascii="Calibri" w:hAnsi="Calibri"/>
          <w:sz w:val="22"/>
          <w:lang w:val="en-US"/>
        </w:rPr>
      </w:pPr>
      <w:r>
        <w:rPr>
          <w:rFonts w:ascii="Calibri" w:hAnsi="Calibri"/>
          <w:sz w:val="22"/>
          <w:lang w:val="en-US"/>
        </w:rPr>
        <w:t>Cập nhật</w:t>
      </w:r>
      <w:r w:rsidR="00865315">
        <w:rPr>
          <w:rFonts w:ascii="Calibri" w:hAnsi="Calibri"/>
          <w:sz w:val="22"/>
          <w:lang w:val="en-US"/>
        </w:rPr>
        <w:t xml:space="preserve"> về mục Quản lý phụ phẩm củ</w:t>
      </w:r>
      <w:r w:rsidR="00EC53BA">
        <w:rPr>
          <w:rFonts w:ascii="Calibri" w:hAnsi="Calibri"/>
          <w:sz w:val="22"/>
          <w:lang w:val="en-US"/>
        </w:rPr>
        <w:t xml:space="preserve">a lúa (rơm và gốc rạ) trong Báo cáo hiện trạng hệ thống canh tác lúa tại Thái Bình </w:t>
      </w:r>
      <w:r w:rsidR="00FB00BA">
        <w:rPr>
          <w:rFonts w:ascii="Calibri" w:hAnsi="Calibri"/>
          <w:sz w:val="22"/>
          <w:lang w:val="en-US"/>
        </w:rPr>
        <w:t xml:space="preserve">(Phụ lục 3 của Thư mời nộp Đề xuất kỹ thuật) </w:t>
      </w:r>
      <w:r w:rsidR="00EC53BA">
        <w:rPr>
          <w:rFonts w:ascii="Calibri" w:hAnsi="Calibri"/>
          <w:sz w:val="22"/>
          <w:lang w:val="en-US"/>
        </w:rPr>
        <w:t>đến tất cả đại biểu.</w:t>
      </w:r>
    </w:p>
    <w:p w:rsidR="001314D2" w:rsidRPr="00FD7DEC" w:rsidRDefault="00FB00BA" w:rsidP="00496C7C">
      <w:pPr>
        <w:pStyle w:val="Heading2"/>
        <w:numPr>
          <w:ilvl w:val="0"/>
          <w:numId w:val="4"/>
        </w:numPr>
        <w:spacing w:before="100" w:after="100" w:line="240" w:lineRule="auto"/>
        <w:ind w:hanging="720"/>
        <w:jc w:val="both"/>
        <w:rPr>
          <w:lang w:val="en-US"/>
        </w:rPr>
      </w:pPr>
      <w:r>
        <w:rPr>
          <w:lang w:val="en-US"/>
        </w:rPr>
        <w:t>Cập nhật về mục Quản lý phụ phẩm của lúa (rơm và gốc rạ) trong Phụ lục 3</w:t>
      </w:r>
    </w:p>
    <w:p w:rsidR="00171E66" w:rsidRPr="00FD7DEC" w:rsidRDefault="00171E66" w:rsidP="00B92010">
      <w:pPr>
        <w:spacing w:before="100" w:after="100" w:line="240" w:lineRule="auto"/>
        <w:jc w:val="both"/>
        <w:rPr>
          <w:rFonts w:ascii="Calibri" w:hAnsi="Calibri"/>
          <w:i/>
          <w:sz w:val="22"/>
          <w:u w:val="single"/>
          <w:lang w:val="en-US"/>
        </w:rPr>
      </w:pPr>
      <w:r>
        <w:rPr>
          <w:rFonts w:ascii="Calibri" w:hAnsi="Calibri"/>
          <w:i/>
          <w:sz w:val="22"/>
          <w:u w:val="single"/>
          <w:lang w:val="en-US"/>
        </w:rPr>
        <w:t>Thư mời nộp đề xuất kỹ thuật đăng tải ngày 31 tháng 3 năm 2017 (Phụ lục 3 – Trang 34 &amp; 36)</w:t>
      </w:r>
    </w:p>
    <w:tbl>
      <w:tblPr>
        <w:tblW w:w="537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3421"/>
        <w:gridCol w:w="3059"/>
        <w:gridCol w:w="1350"/>
      </w:tblGrid>
      <w:tr w:rsidR="00E2523B" w:rsidRPr="00FD7DEC" w:rsidTr="00171E66">
        <w:trPr>
          <w:trHeight w:hRule="exact" w:val="658"/>
        </w:trPr>
        <w:tc>
          <w:tcPr>
            <w:tcW w:w="1107" w:type="pct"/>
            <w:shd w:val="clear" w:color="auto" w:fill="84B44E" w:themeFill="background2"/>
            <w:noWrap/>
            <w:vAlign w:val="center"/>
            <w:hideMark/>
          </w:tcPr>
          <w:p w:rsidR="00E2523B" w:rsidRPr="00E43D22" w:rsidRDefault="00E2523B" w:rsidP="00E2523B">
            <w:pPr>
              <w:rPr>
                <w:b/>
                <w:bCs/>
                <w:sz w:val="22"/>
              </w:rPr>
            </w:pPr>
            <w:r w:rsidRPr="00E43D22">
              <w:rPr>
                <w:b/>
                <w:bCs/>
                <w:sz w:val="22"/>
              </w:rPr>
              <w:t>Quản lý phụ phẩm của lúa</w:t>
            </w:r>
          </w:p>
        </w:tc>
        <w:tc>
          <w:tcPr>
            <w:tcW w:w="1701" w:type="pct"/>
            <w:shd w:val="clear" w:color="auto" w:fill="auto"/>
            <w:noWrap/>
            <w:vAlign w:val="center"/>
            <w:hideMark/>
          </w:tcPr>
          <w:p w:rsidR="00E2523B" w:rsidRPr="00072431" w:rsidRDefault="00E2523B" w:rsidP="00E2523B">
            <w:pPr>
              <w:jc w:val="center"/>
              <w:rPr>
                <w:b/>
                <w:sz w:val="22"/>
              </w:rPr>
            </w:pPr>
            <w:r w:rsidRPr="00072431">
              <w:rPr>
                <w:b/>
                <w:sz w:val="22"/>
              </w:rPr>
              <w:t>Vụ xuân</w:t>
            </w:r>
          </w:p>
        </w:tc>
        <w:tc>
          <w:tcPr>
            <w:tcW w:w="1521" w:type="pct"/>
            <w:shd w:val="clear" w:color="auto" w:fill="BFBFBF" w:themeFill="background1" w:themeFillShade="BF"/>
            <w:noWrap/>
            <w:vAlign w:val="center"/>
            <w:hideMark/>
          </w:tcPr>
          <w:p w:rsidR="00E2523B" w:rsidRPr="00072431" w:rsidRDefault="00E2523B" w:rsidP="00E2523B">
            <w:pPr>
              <w:jc w:val="center"/>
              <w:rPr>
                <w:b/>
                <w:sz w:val="22"/>
              </w:rPr>
            </w:pPr>
            <w:r w:rsidRPr="00072431">
              <w:rPr>
                <w:b/>
                <w:sz w:val="22"/>
              </w:rPr>
              <w:t>Vụ mùa</w:t>
            </w:r>
          </w:p>
        </w:tc>
        <w:tc>
          <w:tcPr>
            <w:tcW w:w="671" w:type="pct"/>
            <w:shd w:val="clear" w:color="auto" w:fill="auto"/>
            <w:vAlign w:val="center"/>
            <w:hideMark/>
          </w:tcPr>
          <w:p w:rsidR="00E2523B" w:rsidRPr="00E43D22" w:rsidRDefault="00E2523B" w:rsidP="00E2523B">
            <w:pPr>
              <w:jc w:val="center"/>
              <w:rPr>
                <w:sz w:val="22"/>
              </w:rPr>
            </w:pPr>
            <w:r w:rsidRPr="00E43D22">
              <w:rPr>
                <w:sz w:val="22"/>
              </w:rPr>
              <w:t> </w:t>
            </w:r>
          </w:p>
        </w:tc>
      </w:tr>
      <w:tr w:rsidR="00E2523B" w:rsidRPr="00FD7DEC" w:rsidTr="00171E66">
        <w:trPr>
          <w:trHeight w:val="1358"/>
        </w:trPr>
        <w:tc>
          <w:tcPr>
            <w:tcW w:w="1107" w:type="pct"/>
            <w:shd w:val="clear" w:color="auto" w:fill="84B44E" w:themeFill="background2"/>
            <w:noWrap/>
            <w:vAlign w:val="center"/>
            <w:hideMark/>
          </w:tcPr>
          <w:p w:rsidR="00E2523B" w:rsidRPr="00E43D22" w:rsidRDefault="00E2523B" w:rsidP="00E2523B">
            <w:pPr>
              <w:rPr>
                <w:sz w:val="22"/>
              </w:rPr>
            </w:pPr>
            <w:r w:rsidRPr="00E43D22">
              <w:rPr>
                <w:sz w:val="22"/>
              </w:rPr>
              <w:t>Gốc rạ (32% tổng rơm rạ)</w:t>
            </w:r>
          </w:p>
        </w:tc>
        <w:tc>
          <w:tcPr>
            <w:tcW w:w="1701" w:type="pct"/>
            <w:shd w:val="clear" w:color="auto" w:fill="auto"/>
            <w:noWrap/>
            <w:vAlign w:val="center"/>
            <w:hideMark/>
          </w:tcPr>
          <w:p w:rsidR="00E2523B" w:rsidRPr="00E43D22" w:rsidRDefault="00E2523B" w:rsidP="00E2523B">
            <w:pPr>
              <w:pStyle w:val="ListParagraph"/>
              <w:numPr>
                <w:ilvl w:val="0"/>
                <w:numId w:val="6"/>
              </w:numPr>
              <w:spacing w:after="0" w:line="240" w:lineRule="auto"/>
              <w:rPr>
                <w:sz w:val="22"/>
              </w:rPr>
            </w:pPr>
            <w:r w:rsidRPr="00E43D22">
              <w:rPr>
                <w:sz w:val="22"/>
              </w:rPr>
              <w:t xml:space="preserve">Trong đó: 90%  số hộ vùi rạ vào đất </w:t>
            </w:r>
          </w:p>
        </w:tc>
        <w:tc>
          <w:tcPr>
            <w:tcW w:w="1521" w:type="pct"/>
            <w:shd w:val="clear" w:color="auto" w:fill="BFBFBF" w:themeFill="background1" w:themeFillShade="BF"/>
            <w:noWrap/>
            <w:vAlign w:val="center"/>
            <w:hideMark/>
          </w:tcPr>
          <w:p w:rsidR="00E2523B" w:rsidRPr="00E43D22" w:rsidRDefault="00E2523B" w:rsidP="00E2523B">
            <w:pPr>
              <w:pStyle w:val="ListParagraph"/>
              <w:numPr>
                <w:ilvl w:val="0"/>
                <w:numId w:val="6"/>
              </w:numPr>
              <w:spacing w:after="0" w:line="240" w:lineRule="auto"/>
              <w:rPr>
                <w:sz w:val="22"/>
              </w:rPr>
            </w:pPr>
            <w:r w:rsidRPr="00E43D22">
              <w:rPr>
                <w:sz w:val="22"/>
              </w:rPr>
              <w:t xml:space="preserve">Trong đó: 90%  số hộ vùi rạ vào đất </w:t>
            </w:r>
          </w:p>
        </w:tc>
        <w:tc>
          <w:tcPr>
            <w:tcW w:w="671" w:type="pct"/>
            <w:shd w:val="clear" w:color="auto" w:fill="auto"/>
            <w:vAlign w:val="center"/>
            <w:hideMark/>
          </w:tcPr>
          <w:p w:rsidR="00E2523B" w:rsidRPr="00E43D22" w:rsidRDefault="00E2523B" w:rsidP="00E2523B">
            <w:pPr>
              <w:jc w:val="center"/>
              <w:rPr>
                <w:sz w:val="22"/>
              </w:rPr>
            </w:pPr>
            <w:r w:rsidRPr="00E43D22">
              <w:rPr>
                <w:sz w:val="22"/>
              </w:rPr>
              <w:t xml:space="preserve">Vùi ngay khi cày </w:t>
            </w:r>
          </w:p>
        </w:tc>
      </w:tr>
      <w:tr w:rsidR="00E2523B" w:rsidRPr="00FD7DEC" w:rsidTr="00171E66">
        <w:trPr>
          <w:trHeight w:val="2177"/>
        </w:trPr>
        <w:tc>
          <w:tcPr>
            <w:tcW w:w="1107" w:type="pct"/>
            <w:shd w:val="clear" w:color="auto" w:fill="84B44E" w:themeFill="background2"/>
            <w:noWrap/>
            <w:vAlign w:val="center"/>
            <w:hideMark/>
          </w:tcPr>
          <w:p w:rsidR="00E2523B" w:rsidRPr="00E43D22" w:rsidRDefault="00E2523B" w:rsidP="00E2523B">
            <w:pPr>
              <w:rPr>
                <w:sz w:val="22"/>
              </w:rPr>
            </w:pPr>
            <w:r w:rsidRPr="00E43D22">
              <w:rPr>
                <w:sz w:val="22"/>
              </w:rPr>
              <w:t>Rơm (68% tổng rơm rạ)</w:t>
            </w:r>
          </w:p>
        </w:tc>
        <w:tc>
          <w:tcPr>
            <w:tcW w:w="1701" w:type="pct"/>
            <w:shd w:val="clear" w:color="auto" w:fill="auto"/>
            <w:noWrap/>
            <w:vAlign w:val="center"/>
            <w:hideMark/>
          </w:tcPr>
          <w:p w:rsidR="00E2523B" w:rsidRPr="00E43D22" w:rsidRDefault="00E2523B" w:rsidP="00E2523B">
            <w:pPr>
              <w:pStyle w:val="ListParagraph"/>
              <w:rPr>
                <w:sz w:val="22"/>
              </w:rPr>
            </w:pPr>
            <w:r w:rsidRPr="00E43D22">
              <w:rPr>
                <w:sz w:val="22"/>
              </w:rPr>
              <w:t>Trong đó:</w:t>
            </w:r>
          </w:p>
          <w:p w:rsidR="00E2523B" w:rsidRPr="00E43D22" w:rsidRDefault="00E2523B" w:rsidP="00E2523B">
            <w:pPr>
              <w:pStyle w:val="ListParagraph"/>
              <w:numPr>
                <w:ilvl w:val="0"/>
                <w:numId w:val="6"/>
              </w:numPr>
              <w:spacing w:after="0" w:line="240" w:lineRule="auto"/>
              <w:rPr>
                <w:sz w:val="22"/>
              </w:rPr>
            </w:pPr>
            <w:r w:rsidRPr="00E43D22">
              <w:rPr>
                <w:sz w:val="22"/>
              </w:rPr>
              <w:t xml:space="preserve">30% số hộ đốt rơm </w:t>
            </w:r>
          </w:p>
          <w:p w:rsidR="00E2523B" w:rsidRPr="00E43D22" w:rsidRDefault="00E2523B" w:rsidP="00E2523B">
            <w:pPr>
              <w:pStyle w:val="ListParagraph"/>
              <w:numPr>
                <w:ilvl w:val="0"/>
                <w:numId w:val="6"/>
              </w:numPr>
              <w:spacing w:after="0" w:line="240" w:lineRule="auto"/>
              <w:rPr>
                <w:sz w:val="22"/>
              </w:rPr>
            </w:pPr>
            <w:r w:rsidRPr="00E43D22">
              <w:rPr>
                <w:sz w:val="22"/>
              </w:rPr>
              <w:t>45% số hộ vùi rơm vào đất</w:t>
            </w:r>
          </w:p>
          <w:p w:rsidR="00E2523B" w:rsidRPr="00E43D22" w:rsidRDefault="00E2523B" w:rsidP="00E2523B">
            <w:pPr>
              <w:pStyle w:val="ListParagraph"/>
              <w:numPr>
                <w:ilvl w:val="0"/>
                <w:numId w:val="6"/>
              </w:numPr>
              <w:spacing w:after="0" w:line="240" w:lineRule="auto"/>
              <w:rPr>
                <w:sz w:val="22"/>
              </w:rPr>
            </w:pPr>
            <w:r w:rsidRPr="00E43D22">
              <w:rPr>
                <w:sz w:val="22"/>
              </w:rPr>
              <w:t>25% số hộ lấy rơm ra khỏi ruộng sử dụng cho mục đích khác</w:t>
            </w:r>
          </w:p>
          <w:p w:rsidR="00E2523B" w:rsidRPr="00E43D22" w:rsidRDefault="00E2523B" w:rsidP="00E2523B">
            <w:pPr>
              <w:ind w:left="360"/>
              <w:rPr>
                <w:sz w:val="22"/>
              </w:rPr>
            </w:pPr>
          </w:p>
        </w:tc>
        <w:tc>
          <w:tcPr>
            <w:tcW w:w="1521" w:type="pct"/>
            <w:shd w:val="clear" w:color="auto" w:fill="BFBFBF" w:themeFill="background1" w:themeFillShade="BF"/>
            <w:noWrap/>
            <w:vAlign w:val="center"/>
            <w:hideMark/>
          </w:tcPr>
          <w:p w:rsidR="00E2523B" w:rsidRPr="00E43D22" w:rsidRDefault="00E2523B" w:rsidP="00E2523B">
            <w:pPr>
              <w:pStyle w:val="ListParagraph"/>
              <w:rPr>
                <w:sz w:val="22"/>
              </w:rPr>
            </w:pPr>
            <w:r w:rsidRPr="00E43D22">
              <w:rPr>
                <w:sz w:val="22"/>
              </w:rPr>
              <w:t>Trong đó:</w:t>
            </w:r>
          </w:p>
          <w:p w:rsidR="00E2523B" w:rsidRPr="00E43D22" w:rsidRDefault="00E2523B" w:rsidP="00E2523B">
            <w:pPr>
              <w:pStyle w:val="ListParagraph"/>
              <w:numPr>
                <w:ilvl w:val="0"/>
                <w:numId w:val="6"/>
              </w:numPr>
              <w:spacing w:after="0" w:line="240" w:lineRule="auto"/>
              <w:rPr>
                <w:sz w:val="22"/>
              </w:rPr>
            </w:pPr>
            <w:r w:rsidRPr="00E43D22">
              <w:rPr>
                <w:sz w:val="22"/>
              </w:rPr>
              <w:t xml:space="preserve">40% số hộ đốt rơm </w:t>
            </w:r>
          </w:p>
          <w:p w:rsidR="00E2523B" w:rsidRPr="00E43D22" w:rsidRDefault="00E2523B" w:rsidP="00E2523B">
            <w:pPr>
              <w:pStyle w:val="ListParagraph"/>
              <w:numPr>
                <w:ilvl w:val="0"/>
                <w:numId w:val="6"/>
              </w:numPr>
              <w:spacing w:after="0" w:line="240" w:lineRule="auto"/>
              <w:rPr>
                <w:sz w:val="22"/>
              </w:rPr>
            </w:pPr>
            <w:r w:rsidRPr="00E43D22">
              <w:rPr>
                <w:sz w:val="22"/>
              </w:rPr>
              <w:t>40% số hộ vùi rơm vào đất</w:t>
            </w:r>
          </w:p>
          <w:p w:rsidR="00E2523B" w:rsidRPr="00E43D22" w:rsidRDefault="00E2523B" w:rsidP="00E2523B">
            <w:pPr>
              <w:pStyle w:val="ListParagraph"/>
              <w:numPr>
                <w:ilvl w:val="0"/>
                <w:numId w:val="6"/>
              </w:numPr>
              <w:spacing w:after="0" w:line="240" w:lineRule="auto"/>
              <w:rPr>
                <w:sz w:val="22"/>
              </w:rPr>
            </w:pPr>
            <w:r w:rsidRPr="00E43D22">
              <w:rPr>
                <w:sz w:val="22"/>
              </w:rPr>
              <w:t>20% số hộ lấy rơm ra khỏi ruộng sử dụng cho mục đích khác</w:t>
            </w:r>
          </w:p>
        </w:tc>
        <w:tc>
          <w:tcPr>
            <w:tcW w:w="671" w:type="pct"/>
            <w:shd w:val="clear" w:color="auto" w:fill="auto"/>
            <w:vAlign w:val="center"/>
            <w:hideMark/>
          </w:tcPr>
          <w:p w:rsidR="00E2523B" w:rsidRPr="00E43D22" w:rsidRDefault="00E2523B" w:rsidP="00E2523B">
            <w:pPr>
              <w:rPr>
                <w:sz w:val="22"/>
              </w:rPr>
            </w:pPr>
            <w:r w:rsidRPr="00E43D22">
              <w:rPr>
                <w:sz w:val="22"/>
              </w:rPr>
              <w:t>Nông dân ko sử dụng chế phẩm trichoderma </w:t>
            </w:r>
          </w:p>
        </w:tc>
      </w:tr>
    </w:tbl>
    <w:p w:rsidR="005C48BB" w:rsidRPr="00FD7DEC" w:rsidRDefault="005C48BB" w:rsidP="00B92010">
      <w:pPr>
        <w:spacing w:before="100" w:after="100" w:line="240" w:lineRule="auto"/>
        <w:jc w:val="both"/>
        <w:rPr>
          <w:rFonts w:ascii="Calibri" w:hAnsi="Calibri"/>
          <w:i/>
          <w:sz w:val="22"/>
          <w:u w:val="single"/>
          <w:lang w:val="en-US"/>
        </w:rPr>
      </w:pPr>
    </w:p>
    <w:p w:rsidR="005C48BB" w:rsidRPr="00FD7DEC" w:rsidRDefault="005C48BB" w:rsidP="00B92010">
      <w:pPr>
        <w:spacing w:before="100" w:after="100" w:line="240" w:lineRule="auto"/>
        <w:jc w:val="both"/>
        <w:rPr>
          <w:rFonts w:ascii="Calibri" w:hAnsi="Calibri"/>
          <w:i/>
          <w:sz w:val="22"/>
          <w:u w:val="single"/>
          <w:lang w:val="en-US"/>
        </w:rPr>
      </w:pPr>
    </w:p>
    <w:p w:rsidR="005C48BB" w:rsidRPr="00FD7DEC" w:rsidRDefault="005C48BB" w:rsidP="00B92010">
      <w:pPr>
        <w:spacing w:before="100" w:after="100" w:line="240" w:lineRule="auto"/>
        <w:jc w:val="both"/>
        <w:rPr>
          <w:rFonts w:ascii="Calibri" w:hAnsi="Calibri"/>
          <w:i/>
          <w:sz w:val="22"/>
          <w:u w:val="single"/>
          <w:lang w:val="en-US"/>
        </w:rPr>
      </w:pPr>
    </w:p>
    <w:p w:rsidR="005C48BB" w:rsidRPr="00FD7DEC" w:rsidRDefault="005C48BB" w:rsidP="00B92010">
      <w:pPr>
        <w:spacing w:before="100" w:after="100" w:line="240" w:lineRule="auto"/>
        <w:jc w:val="both"/>
        <w:rPr>
          <w:rFonts w:ascii="Calibri" w:hAnsi="Calibri"/>
          <w:i/>
          <w:sz w:val="22"/>
          <w:u w:val="single"/>
          <w:lang w:val="en-US"/>
        </w:rPr>
      </w:pPr>
    </w:p>
    <w:p w:rsidR="00072431" w:rsidRPr="00171E66" w:rsidRDefault="00072431" w:rsidP="00171E66">
      <w:pPr>
        <w:spacing w:before="100" w:after="100" w:line="240" w:lineRule="auto"/>
        <w:jc w:val="both"/>
        <w:rPr>
          <w:rFonts w:ascii="Calibri" w:hAnsi="Calibri"/>
          <w:i/>
          <w:sz w:val="22"/>
          <w:u w:val="single"/>
          <w:lang w:val="en-US"/>
        </w:rPr>
      </w:pPr>
      <w:r>
        <w:rPr>
          <w:rFonts w:ascii="Calibri" w:hAnsi="Calibri"/>
          <w:i/>
          <w:sz w:val="22"/>
          <w:u w:val="single"/>
          <w:lang w:val="en-US"/>
        </w:rPr>
        <w:t xml:space="preserve">Thông báo bổ sung lần 1 ra ngày 13 tháng 4 năm 2017 sửa đổi các thông tin về Quản lý phụ phẩm </w:t>
      </w:r>
      <w:r w:rsidR="00E2523B">
        <w:rPr>
          <w:rFonts w:ascii="Calibri" w:hAnsi="Calibri"/>
          <w:i/>
          <w:sz w:val="22"/>
          <w:u w:val="single"/>
          <w:lang w:val="en-US"/>
        </w:rPr>
        <w:t xml:space="preserve">của lúa </w:t>
      </w:r>
      <w:r>
        <w:rPr>
          <w:rFonts w:ascii="Calibri" w:hAnsi="Calibri"/>
          <w:i/>
          <w:sz w:val="22"/>
          <w:u w:val="single"/>
          <w:lang w:val="en-US"/>
        </w:rPr>
        <w:t>như sau:</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3421"/>
        <w:gridCol w:w="3347"/>
        <w:gridCol w:w="1062"/>
      </w:tblGrid>
      <w:tr w:rsidR="00171E66" w:rsidRPr="00FD7DEC" w:rsidTr="00F22B38">
        <w:trPr>
          <w:trHeight w:hRule="exact" w:val="613"/>
          <w:jc w:val="center"/>
        </w:trPr>
        <w:tc>
          <w:tcPr>
            <w:tcW w:w="1107" w:type="pct"/>
            <w:shd w:val="clear" w:color="auto" w:fill="84B44E" w:themeFill="background2"/>
            <w:noWrap/>
            <w:vAlign w:val="center"/>
            <w:hideMark/>
          </w:tcPr>
          <w:p w:rsidR="00171E66" w:rsidRPr="00E43D22" w:rsidRDefault="00171E66" w:rsidP="00171E66">
            <w:pPr>
              <w:rPr>
                <w:b/>
                <w:bCs/>
                <w:sz w:val="22"/>
              </w:rPr>
            </w:pPr>
            <w:r w:rsidRPr="00E43D22">
              <w:rPr>
                <w:b/>
                <w:bCs/>
                <w:sz w:val="22"/>
              </w:rPr>
              <w:t>Quản lý phụ phẩm của lúa</w:t>
            </w:r>
          </w:p>
        </w:tc>
        <w:tc>
          <w:tcPr>
            <w:tcW w:w="1701" w:type="pct"/>
            <w:shd w:val="clear" w:color="auto" w:fill="auto"/>
            <w:noWrap/>
            <w:vAlign w:val="center"/>
          </w:tcPr>
          <w:p w:rsidR="00171E66" w:rsidRPr="00072431" w:rsidRDefault="00171E66" w:rsidP="00072431">
            <w:pPr>
              <w:jc w:val="center"/>
              <w:rPr>
                <w:b/>
                <w:sz w:val="22"/>
              </w:rPr>
            </w:pPr>
          </w:p>
        </w:tc>
        <w:tc>
          <w:tcPr>
            <w:tcW w:w="1664" w:type="pct"/>
            <w:shd w:val="clear" w:color="auto" w:fill="BFBFBF" w:themeFill="background1" w:themeFillShade="BF"/>
            <w:noWrap/>
            <w:vAlign w:val="center"/>
          </w:tcPr>
          <w:p w:rsidR="00171E66" w:rsidRPr="00072431" w:rsidRDefault="00171E66" w:rsidP="00072431">
            <w:pPr>
              <w:jc w:val="center"/>
              <w:rPr>
                <w:b/>
                <w:sz w:val="22"/>
              </w:rPr>
            </w:pPr>
          </w:p>
        </w:tc>
        <w:tc>
          <w:tcPr>
            <w:tcW w:w="528" w:type="pct"/>
            <w:shd w:val="clear" w:color="auto" w:fill="auto"/>
            <w:vAlign w:val="center"/>
            <w:hideMark/>
          </w:tcPr>
          <w:p w:rsidR="00171E66" w:rsidRPr="00E43D22" w:rsidRDefault="00171E66" w:rsidP="00171E66">
            <w:pPr>
              <w:jc w:val="center"/>
              <w:rPr>
                <w:sz w:val="22"/>
              </w:rPr>
            </w:pPr>
            <w:r w:rsidRPr="00E43D22">
              <w:rPr>
                <w:sz w:val="22"/>
              </w:rPr>
              <w:t> </w:t>
            </w:r>
          </w:p>
        </w:tc>
      </w:tr>
      <w:tr w:rsidR="00171E66" w:rsidRPr="00FD7DEC" w:rsidTr="007D6287">
        <w:trPr>
          <w:trHeight w:val="1016"/>
          <w:jc w:val="center"/>
        </w:trPr>
        <w:tc>
          <w:tcPr>
            <w:tcW w:w="1107" w:type="pct"/>
            <w:shd w:val="clear" w:color="auto" w:fill="84B44E" w:themeFill="background2"/>
            <w:noWrap/>
            <w:vAlign w:val="center"/>
            <w:hideMark/>
          </w:tcPr>
          <w:p w:rsidR="00171E66" w:rsidRPr="009922D4" w:rsidRDefault="00171E66" w:rsidP="00171E66">
            <w:pPr>
              <w:rPr>
                <w:sz w:val="22"/>
              </w:rPr>
            </w:pPr>
            <w:r w:rsidRPr="009922D4">
              <w:rPr>
                <w:sz w:val="22"/>
              </w:rPr>
              <w:t>Gốc rạ (32% tổng rơm rạ)</w:t>
            </w:r>
          </w:p>
        </w:tc>
        <w:tc>
          <w:tcPr>
            <w:tcW w:w="1701" w:type="pct"/>
            <w:shd w:val="clear" w:color="auto" w:fill="auto"/>
            <w:noWrap/>
            <w:vAlign w:val="center"/>
            <w:hideMark/>
          </w:tcPr>
          <w:p w:rsidR="00171E66" w:rsidRPr="009922D4" w:rsidRDefault="007D6287" w:rsidP="007D6287">
            <w:pPr>
              <w:jc w:val="both"/>
              <w:rPr>
                <w:sz w:val="22"/>
              </w:rPr>
            </w:pPr>
            <w:r>
              <w:rPr>
                <w:sz w:val="22"/>
              </w:rPr>
              <w:t>Tính đến thực tế</w:t>
            </w:r>
            <w:r w:rsidR="00171E66" w:rsidRPr="009922D4">
              <w:rPr>
                <w:sz w:val="22"/>
              </w:rPr>
              <w:t xml:space="preserve"> quản lý gốc rạ </w:t>
            </w:r>
            <w:r>
              <w:rPr>
                <w:sz w:val="22"/>
              </w:rPr>
              <w:t xml:space="preserve">khác nhau tại nhiều địa phương </w:t>
            </w:r>
            <w:r w:rsidR="00171E66" w:rsidRPr="009922D4">
              <w:rPr>
                <w:sz w:val="22"/>
              </w:rPr>
              <w:t xml:space="preserve">và tầm quan trọng của việc quản lý phụ phẩm lúa đối với tình trạng đất dài hạn, </w:t>
            </w:r>
            <w:r>
              <w:rPr>
                <w:sz w:val="22"/>
              </w:rPr>
              <w:t>tỉ lệ</w:t>
            </w:r>
            <w:r w:rsidR="00171E66" w:rsidRPr="009922D4">
              <w:rPr>
                <w:sz w:val="22"/>
              </w:rPr>
              <w:t xml:space="preserve"> gốc rạ </w:t>
            </w:r>
            <w:r>
              <w:rPr>
                <w:sz w:val="22"/>
              </w:rPr>
              <w:t>trong hệ thống canh tác cơ sở</w:t>
            </w:r>
            <w:r w:rsidR="00171E66" w:rsidRPr="009922D4">
              <w:rPr>
                <w:sz w:val="22"/>
              </w:rPr>
              <w:t xml:space="preserve"> sẽ bằng tỉ lệ gốc rạ trong ruộng áp dụng Công nghệ. Gốc rạ </w:t>
            </w:r>
            <w:r w:rsidRPr="007D6287">
              <w:rPr>
                <w:sz w:val="22"/>
              </w:rPr>
              <w:t xml:space="preserve">trong hệ thống canh tác cơ sở </w:t>
            </w:r>
            <w:r w:rsidR="00171E66" w:rsidRPr="009922D4">
              <w:rPr>
                <w:sz w:val="22"/>
              </w:rPr>
              <w:t>không được xử lý.</w:t>
            </w:r>
          </w:p>
        </w:tc>
        <w:tc>
          <w:tcPr>
            <w:tcW w:w="1664" w:type="pct"/>
            <w:shd w:val="clear" w:color="auto" w:fill="BFBFBF" w:themeFill="background1" w:themeFillShade="BF"/>
            <w:noWrap/>
            <w:vAlign w:val="center"/>
            <w:hideMark/>
          </w:tcPr>
          <w:p w:rsidR="00171E66" w:rsidRPr="009922D4" w:rsidRDefault="007D6287" w:rsidP="002F1042">
            <w:pPr>
              <w:jc w:val="both"/>
              <w:rPr>
                <w:sz w:val="22"/>
              </w:rPr>
            </w:pPr>
            <w:r w:rsidRPr="007D6287">
              <w:rPr>
                <w:sz w:val="22"/>
              </w:rPr>
              <w:t xml:space="preserve">Tính đến thực tế quản lý gốc rạ khác nhau tại nhiều địa phương và tầm quan trọng của việc quản lý phụ phẩm lúa đối với tình trạng đất dài hạn, tỉ lệ gốc rạ trong hệ thống canh tác cơ sở sẽ bằng tỉ lệ gốc rạ trong ruộng áp dụng Công nghệ. </w:t>
            </w:r>
            <w:r w:rsidR="002F1042" w:rsidRPr="002F1042">
              <w:rPr>
                <w:sz w:val="22"/>
              </w:rPr>
              <w:t>Gốc rạ trong hệ thống canh tác cơ sở không được xử lý.</w:t>
            </w:r>
          </w:p>
        </w:tc>
        <w:tc>
          <w:tcPr>
            <w:tcW w:w="528" w:type="pct"/>
            <w:shd w:val="clear" w:color="auto" w:fill="auto"/>
            <w:vAlign w:val="center"/>
            <w:hideMark/>
          </w:tcPr>
          <w:p w:rsidR="00171E66" w:rsidRPr="009922D4" w:rsidRDefault="007D6287" w:rsidP="00171E66">
            <w:pPr>
              <w:jc w:val="both"/>
              <w:rPr>
                <w:sz w:val="22"/>
              </w:rPr>
            </w:pPr>
            <w:r>
              <w:rPr>
                <w:sz w:val="22"/>
              </w:rPr>
              <w:t>Vùi trong lần làm đất thứ 1 trước vụ</w:t>
            </w:r>
          </w:p>
        </w:tc>
      </w:tr>
      <w:tr w:rsidR="00171E66" w:rsidRPr="00FD7DEC" w:rsidTr="007D6287">
        <w:trPr>
          <w:trHeight w:val="1322"/>
          <w:jc w:val="center"/>
        </w:trPr>
        <w:tc>
          <w:tcPr>
            <w:tcW w:w="1107" w:type="pct"/>
            <w:shd w:val="clear" w:color="auto" w:fill="84B44E" w:themeFill="background2"/>
            <w:noWrap/>
            <w:vAlign w:val="center"/>
            <w:hideMark/>
          </w:tcPr>
          <w:p w:rsidR="00171E66" w:rsidRPr="009922D4" w:rsidRDefault="00171E66" w:rsidP="00171E66">
            <w:pPr>
              <w:rPr>
                <w:sz w:val="22"/>
              </w:rPr>
            </w:pPr>
            <w:r w:rsidRPr="009922D4">
              <w:rPr>
                <w:sz w:val="22"/>
              </w:rPr>
              <w:t>Rơm (68% tổng rơm rạ)</w:t>
            </w:r>
          </w:p>
        </w:tc>
        <w:tc>
          <w:tcPr>
            <w:tcW w:w="1701" w:type="pct"/>
            <w:shd w:val="clear" w:color="auto" w:fill="auto"/>
            <w:noWrap/>
            <w:vAlign w:val="center"/>
            <w:hideMark/>
          </w:tcPr>
          <w:p w:rsidR="00171E66" w:rsidRPr="009922D4" w:rsidRDefault="007D6287" w:rsidP="007D6287">
            <w:pPr>
              <w:jc w:val="both"/>
              <w:rPr>
                <w:sz w:val="22"/>
              </w:rPr>
            </w:pPr>
            <w:r w:rsidRPr="007D6287">
              <w:rPr>
                <w:sz w:val="22"/>
              </w:rPr>
              <w:t xml:space="preserve">Tính đến thực tế quản lý </w:t>
            </w:r>
            <w:r>
              <w:rPr>
                <w:sz w:val="22"/>
              </w:rPr>
              <w:t>rơm</w:t>
            </w:r>
            <w:r w:rsidRPr="007D6287">
              <w:rPr>
                <w:sz w:val="22"/>
              </w:rPr>
              <w:t xml:space="preserve"> khác nhau tại nhiều địa phương và tầm quan trọng của việc quản lý phụ phẩm lúa đối với tình trạng đất dài hạn, tỉ lệ </w:t>
            </w:r>
            <w:r>
              <w:rPr>
                <w:sz w:val="22"/>
              </w:rPr>
              <w:t>rơm</w:t>
            </w:r>
            <w:r w:rsidRPr="007D6287">
              <w:rPr>
                <w:sz w:val="22"/>
              </w:rPr>
              <w:t xml:space="preserve"> trong hệ thống canh tác cơ sở sẽ bằng tỉ lệ rơm trong ruộng áp dụng Công nghệ. </w:t>
            </w:r>
            <w:r>
              <w:rPr>
                <w:sz w:val="22"/>
              </w:rPr>
              <w:t>Rơm</w:t>
            </w:r>
            <w:r w:rsidRPr="007D6287">
              <w:rPr>
                <w:sz w:val="22"/>
              </w:rPr>
              <w:t xml:space="preserve"> trong hệ thống canh tác cơ sở không được xử lý.</w:t>
            </w:r>
          </w:p>
        </w:tc>
        <w:tc>
          <w:tcPr>
            <w:tcW w:w="1664" w:type="pct"/>
            <w:shd w:val="clear" w:color="auto" w:fill="BFBFBF" w:themeFill="background1" w:themeFillShade="BF"/>
            <w:noWrap/>
            <w:vAlign w:val="center"/>
            <w:hideMark/>
          </w:tcPr>
          <w:p w:rsidR="00171E66" w:rsidRPr="009922D4" w:rsidRDefault="007D6287" w:rsidP="007D6287">
            <w:pPr>
              <w:jc w:val="both"/>
              <w:rPr>
                <w:sz w:val="22"/>
              </w:rPr>
            </w:pPr>
            <w:r w:rsidRPr="007D6287">
              <w:rPr>
                <w:sz w:val="22"/>
              </w:rPr>
              <w:t xml:space="preserve">Tính đến thực tế quản lý </w:t>
            </w:r>
            <w:r>
              <w:rPr>
                <w:sz w:val="22"/>
              </w:rPr>
              <w:t>rơm</w:t>
            </w:r>
            <w:r w:rsidRPr="007D6287">
              <w:rPr>
                <w:sz w:val="22"/>
              </w:rPr>
              <w:t xml:space="preserve"> khác nhau tại nhiều địa phương và tầm quan trọng của việc quản lý phụ phẩm lúa đối với tình trạng đất dài hạn, tỉ lệ </w:t>
            </w:r>
            <w:r>
              <w:rPr>
                <w:sz w:val="22"/>
              </w:rPr>
              <w:t>rơm</w:t>
            </w:r>
            <w:r w:rsidRPr="007D6287">
              <w:rPr>
                <w:sz w:val="22"/>
              </w:rPr>
              <w:t xml:space="preserve"> trong hệ thống canh tác cơ sở sẽ bằng tỉ lệ </w:t>
            </w:r>
            <w:r>
              <w:rPr>
                <w:sz w:val="22"/>
              </w:rPr>
              <w:t>rơm</w:t>
            </w:r>
            <w:r w:rsidRPr="007D6287">
              <w:rPr>
                <w:sz w:val="22"/>
              </w:rPr>
              <w:t xml:space="preserve"> trong ruộng áp dụng Công nghệ. </w:t>
            </w:r>
            <w:r w:rsidR="002F1042" w:rsidRPr="002F1042">
              <w:rPr>
                <w:sz w:val="22"/>
              </w:rPr>
              <w:t>Rơm trong hệ thống canh tác cơ sở không được xử lý.</w:t>
            </w:r>
            <w:bookmarkStart w:id="0" w:name="_GoBack"/>
            <w:bookmarkEnd w:id="0"/>
          </w:p>
        </w:tc>
        <w:tc>
          <w:tcPr>
            <w:tcW w:w="528" w:type="pct"/>
            <w:shd w:val="clear" w:color="auto" w:fill="auto"/>
            <w:vAlign w:val="center"/>
            <w:hideMark/>
          </w:tcPr>
          <w:p w:rsidR="00171E66" w:rsidRPr="009922D4" w:rsidRDefault="007D6287" w:rsidP="00171E66">
            <w:pPr>
              <w:jc w:val="both"/>
              <w:rPr>
                <w:sz w:val="22"/>
              </w:rPr>
            </w:pPr>
            <w:r w:rsidRPr="007D6287">
              <w:rPr>
                <w:sz w:val="22"/>
              </w:rPr>
              <w:t>Vùi trong lần làm đất thứ 1 trước vụ</w:t>
            </w:r>
          </w:p>
        </w:tc>
      </w:tr>
    </w:tbl>
    <w:p w:rsidR="001314D2" w:rsidRPr="00FD7DEC" w:rsidRDefault="001314D2" w:rsidP="00B92010">
      <w:pPr>
        <w:spacing w:before="100" w:after="100" w:line="240" w:lineRule="auto"/>
        <w:jc w:val="both"/>
        <w:rPr>
          <w:rFonts w:ascii="Calibri" w:hAnsi="Calibri"/>
          <w:b/>
          <w:sz w:val="22"/>
          <w:lang w:val="en-US"/>
        </w:rPr>
      </w:pPr>
    </w:p>
    <w:p w:rsidR="001314D2" w:rsidRPr="00FD7DEC" w:rsidRDefault="00C05B7F" w:rsidP="00496C7C">
      <w:pPr>
        <w:pStyle w:val="Heading2"/>
        <w:numPr>
          <w:ilvl w:val="0"/>
          <w:numId w:val="4"/>
        </w:numPr>
        <w:spacing w:before="100" w:after="100" w:line="240" w:lineRule="auto"/>
        <w:ind w:hanging="720"/>
        <w:jc w:val="both"/>
        <w:rPr>
          <w:lang w:val="en-US"/>
        </w:rPr>
      </w:pPr>
      <w:r>
        <w:rPr>
          <w:lang w:val="en-US"/>
        </w:rPr>
        <w:t>Nội dung phần thảo luận: câu h</w:t>
      </w:r>
      <w:r w:rsidR="008E028A">
        <w:rPr>
          <w:lang w:val="en-US"/>
        </w:rPr>
        <w:t xml:space="preserve">ỏi </w:t>
      </w:r>
      <w:r w:rsidR="0035012F">
        <w:rPr>
          <w:lang w:val="en-US"/>
        </w:rPr>
        <w:t>của các bên tham gia và nội dung trả lời của Ban Quản lý dự án</w:t>
      </w:r>
    </w:p>
    <w:p w:rsidR="008E028A" w:rsidRPr="00FD7DEC" w:rsidRDefault="008E028A" w:rsidP="00496C7C">
      <w:pPr>
        <w:spacing w:before="100" w:after="100" w:line="240" w:lineRule="auto"/>
        <w:jc w:val="both"/>
        <w:rPr>
          <w:rFonts w:ascii="Calibri" w:hAnsi="Calibri"/>
          <w:sz w:val="22"/>
          <w:lang w:val="en-US"/>
        </w:rPr>
      </w:pPr>
      <w:r w:rsidRPr="008E028A">
        <w:rPr>
          <w:rFonts w:ascii="Calibri" w:hAnsi="Calibri"/>
          <w:b/>
          <w:sz w:val="22"/>
          <w:lang w:val="en-US"/>
        </w:rPr>
        <w:t>Câu hỏi 1</w:t>
      </w:r>
      <w:r>
        <w:rPr>
          <w:rFonts w:ascii="Calibri" w:hAnsi="Calibri"/>
          <w:sz w:val="22"/>
          <w:lang w:val="en-US"/>
        </w:rPr>
        <w:t xml:space="preserve">: Trong Phụ lục 1, câu hỏi 2 mục </w:t>
      </w:r>
      <w:r w:rsidRPr="003A00BB">
        <w:rPr>
          <w:rFonts w:ascii="Calibri" w:hAnsi="Calibri"/>
          <w:b/>
          <w:sz w:val="22"/>
          <w:lang w:val="en-US"/>
        </w:rPr>
        <w:t xml:space="preserve">IV. Mô tả dự </w:t>
      </w:r>
      <w:proofErr w:type="gramStart"/>
      <w:r w:rsidRPr="003A00BB">
        <w:rPr>
          <w:rFonts w:ascii="Calibri" w:hAnsi="Calibri"/>
          <w:b/>
          <w:sz w:val="22"/>
          <w:lang w:val="en-US"/>
        </w:rPr>
        <w:t>án</w:t>
      </w:r>
      <w:proofErr w:type="gramEnd"/>
      <w:r>
        <w:rPr>
          <w:rFonts w:ascii="Calibri" w:hAnsi="Calibri"/>
          <w:sz w:val="22"/>
          <w:lang w:val="en-US"/>
        </w:rPr>
        <w:t xml:space="preserve"> </w:t>
      </w:r>
      <w:r w:rsidR="00487C90">
        <w:rPr>
          <w:rFonts w:ascii="Calibri" w:hAnsi="Calibri"/>
          <w:sz w:val="22"/>
          <w:lang w:val="en-US"/>
        </w:rPr>
        <w:t>có vẻ</w:t>
      </w:r>
      <w:r>
        <w:rPr>
          <w:rFonts w:ascii="Calibri" w:hAnsi="Calibri"/>
          <w:sz w:val="22"/>
          <w:lang w:val="en-US"/>
        </w:rPr>
        <w:t xml:space="preserve"> trùng lặp nội dung với câu hỏi 3 mục </w:t>
      </w:r>
      <w:r w:rsidRPr="003A00BB">
        <w:rPr>
          <w:rFonts w:ascii="Calibri" w:hAnsi="Calibri"/>
          <w:b/>
          <w:sz w:val="22"/>
          <w:lang w:val="en-US"/>
        </w:rPr>
        <w:t>III. Tóm tắt đề xuất kỹ thuật</w:t>
      </w:r>
      <w:r>
        <w:rPr>
          <w:rFonts w:ascii="Calibri" w:hAnsi="Calibri"/>
          <w:sz w:val="22"/>
          <w:lang w:val="en-US"/>
        </w:rPr>
        <w:t>.</w:t>
      </w:r>
    </w:p>
    <w:p w:rsidR="00487C90" w:rsidRPr="00FD7DEC" w:rsidRDefault="00487C90" w:rsidP="00496C7C">
      <w:pPr>
        <w:spacing w:before="100" w:after="100" w:line="240" w:lineRule="auto"/>
        <w:jc w:val="both"/>
        <w:rPr>
          <w:rFonts w:ascii="Calibri" w:hAnsi="Calibri"/>
          <w:sz w:val="22"/>
          <w:lang w:val="en-US"/>
        </w:rPr>
      </w:pPr>
      <w:r w:rsidRPr="00487C90">
        <w:rPr>
          <w:rFonts w:ascii="Calibri" w:hAnsi="Calibri"/>
          <w:b/>
          <w:sz w:val="22"/>
          <w:lang w:val="en-US"/>
        </w:rPr>
        <w:t>Trả lời câu hỏi 1</w:t>
      </w:r>
      <w:r>
        <w:rPr>
          <w:rFonts w:ascii="Calibri" w:hAnsi="Calibri"/>
          <w:sz w:val="22"/>
          <w:lang w:val="en-US"/>
        </w:rPr>
        <w:t xml:space="preserve">: Không trùng lặp. Câu hỏi 3 mục </w:t>
      </w:r>
      <w:r w:rsidRPr="003A00BB">
        <w:rPr>
          <w:rFonts w:ascii="Calibri" w:hAnsi="Calibri"/>
          <w:b/>
          <w:sz w:val="22"/>
          <w:lang w:val="en-US"/>
        </w:rPr>
        <w:t>III. Tóm tắt đề xuất kỹ thuật</w:t>
      </w:r>
      <w:r>
        <w:rPr>
          <w:rFonts w:ascii="Calibri" w:hAnsi="Calibri"/>
          <w:sz w:val="22"/>
          <w:lang w:val="en-US"/>
        </w:rPr>
        <w:t xml:space="preserve"> yêu cầu tóm tắt về công nghệ đề xuất. Cả 3 câu hỏi trong mục này </w:t>
      </w:r>
      <w:r w:rsidR="003B2215">
        <w:rPr>
          <w:rFonts w:ascii="Calibri" w:hAnsi="Calibri"/>
          <w:sz w:val="22"/>
          <w:lang w:val="en-US"/>
        </w:rPr>
        <w:t xml:space="preserve">chỉ nên được trả lời trong phạm </w:t>
      </w:r>
      <w:proofErr w:type="gramStart"/>
      <w:r w:rsidR="003B2215">
        <w:rPr>
          <w:rFonts w:ascii="Calibri" w:hAnsi="Calibri"/>
          <w:sz w:val="22"/>
          <w:lang w:val="en-US"/>
        </w:rPr>
        <w:t>vi</w:t>
      </w:r>
      <w:proofErr w:type="gramEnd"/>
      <w:r w:rsidR="003B2215">
        <w:rPr>
          <w:rFonts w:ascii="Calibri" w:hAnsi="Calibri"/>
          <w:sz w:val="22"/>
          <w:lang w:val="en-US"/>
        </w:rPr>
        <w:t xml:space="preserve"> tối đa 400 chữ.</w:t>
      </w:r>
      <w:r w:rsidR="00004E98">
        <w:rPr>
          <w:rFonts w:ascii="Calibri" w:hAnsi="Calibri"/>
          <w:sz w:val="22"/>
          <w:lang w:val="en-US"/>
        </w:rPr>
        <w:t xml:space="preserve"> Về câu hỏi 2 mục </w:t>
      </w:r>
      <w:r w:rsidR="00004E98" w:rsidRPr="003A00BB">
        <w:rPr>
          <w:rFonts w:ascii="Calibri" w:hAnsi="Calibri"/>
          <w:b/>
          <w:sz w:val="22"/>
          <w:lang w:val="en-US"/>
        </w:rPr>
        <w:t>IV</w:t>
      </w:r>
      <w:r w:rsidR="003A00BB" w:rsidRPr="003A00BB">
        <w:rPr>
          <w:rFonts w:ascii="Calibri" w:hAnsi="Calibri"/>
          <w:b/>
          <w:sz w:val="22"/>
          <w:lang w:val="en-US"/>
        </w:rPr>
        <w:t>.</w:t>
      </w:r>
      <w:r w:rsidR="00004E98" w:rsidRPr="003A00BB">
        <w:rPr>
          <w:rFonts w:ascii="Calibri" w:hAnsi="Calibri"/>
          <w:b/>
          <w:sz w:val="22"/>
          <w:lang w:val="en-US"/>
        </w:rPr>
        <w:t xml:space="preserve"> Mô tả dự án</w:t>
      </w:r>
      <w:r w:rsidR="00004E98">
        <w:rPr>
          <w:rFonts w:ascii="Calibri" w:hAnsi="Calibri"/>
          <w:sz w:val="22"/>
          <w:lang w:val="en-US"/>
        </w:rPr>
        <w:t>, phần công nghệ đề xuất nên được trả lời chi tiết hơn bằng cách điền vào tất cả bảng biểu có trong câu hỏi 2.5.</w:t>
      </w:r>
    </w:p>
    <w:p w:rsidR="00BE0107" w:rsidRPr="00FD7DEC" w:rsidRDefault="00BE0107" w:rsidP="00496C7C">
      <w:pPr>
        <w:spacing w:before="100" w:after="100" w:line="240" w:lineRule="auto"/>
        <w:jc w:val="both"/>
        <w:rPr>
          <w:rFonts w:ascii="Calibri" w:hAnsi="Calibri"/>
          <w:sz w:val="22"/>
          <w:lang w:val="en-US"/>
        </w:rPr>
      </w:pPr>
      <w:r w:rsidRPr="00267098">
        <w:rPr>
          <w:rFonts w:ascii="Calibri" w:hAnsi="Calibri"/>
          <w:b/>
          <w:sz w:val="22"/>
          <w:lang w:val="en-US"/>
        </w:rPr>
        <w:t>Câu hỏi 2</w:t>
      </w:r>
      <w:r>
        <w:rPr>
          <w:rFonts w:ascii="Calibri" w:hAnsi="Calibri"/>
          <w:sz w:val="22"/>
          <w:lang w:val="en-US"/>
        </w:rPr>
        <w:t xml:space="preserve">: Ban Quản lý dự </w:t>
      </w:r>
      <w:proofErr w:type="gramStart"/>
      <w:r>
        <w:rPr>
          <w:rFonts w:ascii="Calibri" w:hAnsi="Calibri"/>
          <w:sz w:val="22"/>
          <w:lang w:val="en-US"/>
        </w:rPr>
        <w:t>án</w:t>
      </w:r>
      <w:proofErr w:type="gramEnd"/>
      <w:r>
        <w:rPr>
          <w:rFonts w:ascii="Calibri" w:hAnsi="Calibri"/>
          <w:sz w:val="22"/>
          <w:lang w:val="en-US"/>
        </w:rPr>
        <w:t xml:space="preserve"> có thể cung cấp mẫu Thỏa thuận hợp tác </w:t>
      </w:r>
      <w:r w:rsidR="00124718">
        <w:rPr>
          <w:rFonts w:ascii="Calibri" w:hAnsi="Calibri"/>
          <w:sz w:val="22"/>
          <w:lang w:val="en-US"/>
        </w:rPr>
        <w:t xml:space="preserve">cho các bên tham gia </w:t>
      </w:r>
      <w:r>
        <w:rPr>
          <w:rFonts w:ascii="Calibri" w:hAnsi="Calibri"/>
          <w:sz w:val="22"/>
          <w:lang w:val="en-US"/>
        </w:rPr>
        <w:t>không?</w:t>
      </w:r>
    </w:p>
    <w:p w:rsidR="00BE0107" w:rsidRPr="00FD7DEC" w:rsidRDefault="00BE0107" w:rsidP="00496C7C">
      <w:pPr>
        <w:spacing w:before="100" w:after="100" w:line="240" w:lineRule="auto"/>
        <w:jc w:val="both"/>
        <w:rPr>
          <w:rFonts w:ascii="Calibri" w:hAnsi="Calibri"/>
          <w:sz w:val="22"/>
          <w:lang w:val="en-US"/>
        </w:rPr>
      </w:pPr>
      <w:r w:rsidRPr="00267098">
        <w:rPr>
          <w:rFonts w:ascii="Calibri" w:hAnsi="Calibri"/>
          <w:b/>
          <w:sz w:val="22"/>
          <w:lang w:val="en-US"/>
        </w:rPr>
        <w:t>Trả lời câu hỏi 2</w:t>
      </w:r>
      <w:r>
        <w:rPr>
          <w:rFonts w:ascii="Calibri" w:hAnsi="Calibri"/>
          <w:sz w:val="22"/>
          <w:lang w:val="en-US"/>
        </w:rPr>
        <w:t xml:space="preserve">: Các đơn vị tham gia có thể </w:t>
      </w:r>
      <w:r w:rsidR="00C62A82">
        <w:rPr>
          <w:rFonts w:ascii="Calibri" w:hAnsi="Calibri"/>
          <w:sz w:val="22"/>
          <w:lang w:val="en-US"/>
        </w:rPr>
        <w:t>thiết lập</w:t>
      </w:r>
      <w:r>
        <w:rPr>
          <w:rFonts w:ascii="Calibri" w:hAnsi="Calibri"/>
          <w:sz w:val="22"/>
          <w:lang w:val="en-US"/>
        </w:rPr>
        <w:t xml:space="preserve"> nhiều hình </w:t>
      </w:r>
      <w:r w:rsidR="00C62A82">
        <w:rPr>
          <w:rFonts w:ascii="Calibri" w:hAnsi="Calibri"/>
          <w:sz w:val="22"/>
          <w:lang w:val="en-US"/>
        </w:rPr>
        <w:t xml:space="preserve">thức </w:t>
      </w:r>
      <w:r>
        <w:rPr>
          <w:rFonts w:ascii="Calibri" w:hAnsi="Calibri"/>
          <w:sz w:val="22"/>
          <w:lang w:val="en-US"/>
        </w:rPr>
        <w:t xml:space="preserve">hợp tác </w:t>
      </w:r>
      <w:r w:rsidR="00C62A82">
        <w:rPr>
          <w:rFonts w:ascii="Calibri" w:hAnsi="Calibri"/>
          <w:sz w:val="22"/>
          <w:lang w:val="en-US"/>
        </w:rPr>
        <w:t xml:space="preserve">và </w:t>
      </w:r>
      <w:r>
        <w:rPr>
          <w:rFonts w:ascii="Calibri" w:hAnsi="Calibri"/>
          <w:sz w:val="22"/>
          <w:lang w:val="en-US"/>
        </w:rPr>
        <w:t xml:space="preserve">với các bên khác nhau. </w:t>
      </w:r>
      <w:r w:rsidR="003A00BB">
        <w:rPr>
          <w:rFonts w:ascii="Calibri" w:hAnsi="Calibri"/>
          <w:sz w:val="22"/>
          <w:lang w:val="en-US"/>
        </w:rPr>
        <w:t>B</w:t>
      </w:r>
      <w:r w:rsidR="00C62A82">
        <w:rPr>
          <w:rFonts w:ascii="Calibri" w:hAnsi="Calibri"/>
          <w:sz w:val="22"/>
          <w:lang w:val="en-US"/>
        </w:rPr>
        <w:t>an Q</w:t>
      </w:r>
      <w:r>
        <w:rPr>
          <w:rFonts w:ascii="Calibri" w:hAnsi="Calibri"/>
          <w:sz w:val="22"/>
          <w:lang w:val="en-US"/>
        </w:rPr>
        <w:t xml:space="preserve">uản lý dự </w:t>
      </w:r>
      <w:proofErr w:type="gramStart"/>
      <w:r>
        <w:rPr>
          <w:rFonts w:ascii="Calibri" w:hAnsi="Calibri"/>
          <w:sz w:val="22"/>
          <w:lang w:val="en-US"/>
        </w:rPr>
        <w:t>án</w:t>
      </w:r>
      <w:proofErr w:type="gramEnd"/>
      <w:r>
        <w:rPr>
          <w:rFonts w:ascii="Calibri" w:hAnsi="Calibri"/>
          <w:sz w:val="22"/>
          <w:lang w:val="en-US"/>
        </w:rPr>
        <w:t xml:space="preserve"> không đề xuất một </w:t>
      </w:r>
      <w:r w:rsidR="00B71C0D">
        <w:rPr>
          <w:rFonts w:ascii="Calibri" w:hAnsi="Calibri"/>
          <w:sz w:val="22"/>
          <w:lang w:val="en-US"/>
        </w:rPr>
        <w:t>mô hình</w:t>
      </w:r>
      <w:r>
        <w:rPr>
          <w:rFonts w:ascii="Calibri" w:hAnsi="Calibri"/>
          <w:sz w:val="22"/>
          <w:lang w:val="en-US"/>
        </w:rPr>
        <w:t xml:space="preserve"> </w:t>
      </w:r>
      <w:r w:rsidR="00B71C0D">
        <w:rPr>
          <w:rFonts w:ascii="Calibri" w:hAnsi="Calibri"/>
          <w:sz w:val="22"/>
          <w:lang w:val="en-US"/>
        </w:rPr>
        <w:t>hợp tác</w:t>
      </w:r>
      <w:r>
        <w:rPr>
          <w:rFonts w:ascii="Calibri" w:hAnsi="Calibri"/>
          <w:sz w:val="22"/>
          <w:lang w:val="en-US"/>
        </w:rPr>
        <w:t xml:space="preserve"> cụ thể. </w:t>
      </w:r>
      <w:r w:rsidR="003A00BB">
        <w:rPr>
          <w:rFonts w:ascii="Calibri" w:hAnsi="Calibri"/>
          <w:sz w:val="22"/>
          <w:lang w:val="en-US"/>
        </w:rPr>
        <w:t>Khi</w:t>
      </w:r>
      <w:r>
        <w:rPr>
          <w:rFonts w:ascii="Calibri" w:hAnsi="Calibri"/>
          <w:sz w:val="22"/>
          <w:lang w:val="en-US"/>
        </w:rPr>
        <w:t xml:space="preserve"> tất cả bên đối tác/bên liên quan thảo luận và thống nhất các điều khoản</w:t>
      </w:r>
      <w:r w:rsidR="003A00BB">
        <w:rPr>
          <w:rFonts w:ascii="Calibri" w:hAnsi="Calibri"/>
          <w:sz w:val="22"/>
          <w:lang w:val="en-US"/>
        </w:rPr>
        <w:t xml:space="preserve"> cùng nhau</w:t>
      </w:r>
      <w:r>
        <w:rPr>
          <w:rFonts w:ascii="Calibri" w:hAnsi="Calibri"/>
          <w:sz w:val="22"/>
          <w:lang w:val="en-US"/>
        </w:rPr>
        <w:t xml:space="preserve">; </w:t>
      </w:r>
      <w:r w:rsidR="00267098">
        <w:rPr>
          <w:rFonts w:ascii="Calibri" w:hAnsi="Calibri"/>
          <w:sz w:val="22"/>
          <w:lang w:val="en-US"/>
        </w:rPr>
        <w:t>khi đó, các đơn vị nên</w:t>
      </w:r>
      <w:r>
        <w:rPr>
          <w:rFonts w:ascii="Calibri" w:hAnsi="Calibri"/>
          <w:sz w:val="22"/>
          <w:lang w:val="en-US"/>
        </w:rPr>
        <w:t xml:space="preserve"> lập thỏa thuận dưới dạng văn bản và gửi bản sao thỏa thuận hợp tác đó đính kèm với Hồ sơ kỹ thuật.</w:t>
      </w:r>
    </w:p>
    <w:p w:rsidR="001241B6" w:rsidRPr="00FD7DEC" w:rsidRDefault="001241B6" w:rsidP="00496C7C">
      <w:pPr>
        <w:spacing w:before="100" w:after="100" w:line="240" w:lineRule="auto"/>
        <w:jc w:val="both"/>
        <w:rPr>
          <w:rFonts w:ascii="Calibri" w:hAnsi="Calibri"/>
          <w:sz w:val="22"/>
          <w:lang w:val="en-US"/>
        </w:rPr>
      </w:pPr>
      <w:r w:rsidRPr="00830968">
        <w:rPr>
          <w:rFonts w:ascii="Calibri" w:hAnsi="Calibri"/>
          <w:b/>
          <w:sz w:val="22"/>
          <w:lang w:val="en-US"/>
        </w:rPr>
        <w:t>Câu hỏ</w:t>
      </w:r>
      <w:r w:rsidR="00A62195" w:rsidRPr="00830968">
        <w:rPr>
          <w:rFonts w:ascii="Calibri" w:hAnsi="Calibri"/>
          <w:b/>
          <w:sz w:val="22"/>
          <w:lang w:val="en-US"/>
        </w:rPr>
        <w:t>i 3</w:t>
      </w:r>
      <w:r w:rsidR="00A62195">
        <w:rPr>
          <w:rFonts w:ascii="Calibri" w:hAnsi="Calibri"/>
          <w:sz w:val="22"/>
          <w:lang w:val="en-US"/>
        </w:rPr>
        <w:t xml:space="preserve">: </w:t>
      </w:r>
      <w:r w:rsidR="00371FA9">
        <w:rPr>
          <w:rFonts w:ascii="Calibri" w:hAnsi="Calibri"/>
          <w:sz w:val="22"/>
          <w:lang w:val="en-US"/>
        </w:rPr>
        <w:t xml:space="preserve">Có bắt buộc phải sử dụng giống lúa đã được Bộ NN&amp;PTNT </w:t>
      </w:r>
      <w:r w:rsidR="00A32C33">
        <w:rPr>
          <w:rFonts w:ascii="Calibri" w:hAnsi="Calibri"/>
          <w:sz w:val="22"/>
          <w:lang w:val="en-US"/>
        </w:rPr>
        <w:t>khảo nghiệm</w:t>
      </w:r>
      <w:r w:rsidR="00371FA9">
        <w:rPr>
          <w:rFonts w:ascii="Calibri" w:hAnsi="Calibri"/>
          <w:sz w:val="22"/>
          <w:lang w:val="en-US"/>
        </w:rPr>
        <w:t xml:space="preserve"> và </w:t>
      </w:r>
      <w:r w:rsidR="00A32C33">
        <w:rPr>
          <w:rFonts w:ascii="Calibri" w:hAnsi="Calibri"/>
          <w:sz w:val="22"/>
          <w:lang w:val="en-US"/>
        </w:rPr>
        <w:t>công nhận</w:t>
      </w:r>
      <w:r w:rsidR="00371FA9">
        <w:rPr>
          <w:rFonts w:ascii="Calibri" w:hAnsi="Calibri"/>
          <w:sz w:val="22"/>
          <w:lang w:val="en-US"/>
        </w:rPr>
        <w:t xml:space="preserve"> chính thức hay không? Quy trình </w:t>
      </w:r>
      <w:r w:rsidR="00BD0727">
        <w:rPr>
          <w:rFonts w:ascii="Calibri" w:hAnsi="Calibri"/>
          <w:sz w:val="22"/>
          <w:lang w:val="en-US"/>
        </w:rPr>
        <w:t>khảo nghiệm</w:t>
      </w:r>
      <w:r w:rsidR="00371FA9">
        <w:rPr>
          <w:rFonts w:ascii="Calibri" w:hAnsi="Calibri"/>
          <w:sz w:val="22"/>
          <w:lang w:val="en-US"/>
        </w:rPr>
        <w:t xml:space="preserve"> giống lúa thường kéo dài từ 10-12 năm hoặc lâu hơn trong </w:t>
      </w:r>
      <w:r w:rsidR="00D97C30">
        <w:rPr>
          <w:rFonts w:ascii="Calibri" w:hAnsi="Calibri"/>
          <w:sz w:val="22"/>
          <w:lang w:val="en-US"/>
        </w:rPr>
        <w:t>các</w:t>
      </w:r>
      <w:r w:rsidR="00371FA9">
        <w:rPr>
          <w:rFonts w:ascii="Calibri" w:hAnsi="Calibri"/>
          <w:sz w:val="22"/>
          <w:lang w:val="en-US"/>
        </w:rPr>
        <w:t xml:space="preserve"> hệ thống sinh thái khác nhau tại Việt Nam.</w:t>
      </w:r>
    </w:p>
    <w:p w:rsidR="00371FA9" w:rsidRPr="00FD7DEC" w:rsidRDefault="00371FA9" w:rsidP="004534E5">
      <w:pPr>
        <w:pBdr>
          <w:bottom w:val="single" w:sz="4" w:space="1" w:color="auto"/>
        </w:pBdr>
        <w:spacing w:after="0" w:line="240" w:lineRule="auto"/>
        <w:jc w:val="both"/>
        <w:rPr>
          <w:rFonts w:ascii="Calibri" w:hAnsi="Calibri"/>
          <w:sz w:val="22"/>
          <w:lang w:val="en-US"/>
        </w:rPr>
      </w:pPr>
      <w:r w:rsidRPr="00C577F2">
        <w:rPr>
          <w:rFonts w:ascii="Calibri" w:hAnsi="Calibri"/>
          <w:b/>
          <w:sz w:val="22"/>
          <w:lang w:val="en-US"/>
        </w:rPr>
        <w:lastRenderedPageBreak/>
        <w:t>Trả lời câu hỏi 3</w:t>
      </w:r>
      <w:r>
        <w:rPr>
          <w:rFonts w:ascii="Calibri" w:hAnsi="Calibri"/>
          <w:sz w:val="22"/>
          <w:lang w:val="en-US"/>
        </w:rPr>
        <w:t xml:space="preserve">: Vui lòng xem lại mục </w:t>
      </w:r>
      <w:r w:rsidRPr="00021B25">
        <w:rPr>
          <w:rFonts w:ascii="Calibri" w:hAnsi="Calibri"/>
          <w:b/>
          <w:sz w:val="22"/>
          <w:lang w:val="en-US"/>
        </w:rPr>
        <w:t xml:space="preserve">3.2 Quy chế </w:t>
      </w:r>
      <w:proofErr w:type="gramStart"/>
      <w:r w:rsidRPr="00021B25">
        <w:rPr>
          <w:rFonts w:ascii="Calibri" w:hAnsi="Calibri"/>
          <w:b/>
          <w:sz w:val="22"/>
          <w:lang w:val="en-US"/>
        </w:rPr>
        <w:t>chung</w:t>
      </w:r>
      <w:proofErr w:type="gramEnd"/>
      <w:r w:rsidRPr="00021B25">
        <w:rPr>
          <w:rFonts w:ascii="Calibri" w:hAnsi="Calibri"/>
          <w:b/>
          <w:sz w:val="22"/>
          <w:lang w:val="en-US"/>
        </w:rPr>
        <w:t xml:space="preserve"> của cuộc thi</w:t>
      </w:r>
      <w:r>
        <w:rPr>
          <w:rFonts w:ascii="Calibri" w:hAnsi="Calibri"/>
          <w:sz w:val="22"/>
          <w:lang w:val="en-US"/>
        </w:rPr>
        <w:t xml:space="preserve"> đối với việc lựa chọn giống; đặc biệt là điều khoản “</w:t>
      </w:r>
      <w:r w:rsidRPr="00021B25">
        <w:rPr>
          <w:rFonts w:ascii="Calibri" w:hAnsi="Calibri"/>
          <w:i/>
          <w:sz w:val="22"/>
          <w:lang w:val="en-US"/>
        </w:rPr>
        <w:t xml:space="preserve">Dự án có quyền từ chối cho sử dụng các loại giống lúa chất lượng kém khác biệt so với các loại giống truyền thống. Nếu đơn vị tham gia đề xuất sử dụng giống ngoài tiêu chuẩn của dự án, dự </w:t>
      </w:r>
      <w:proofErr w:type="gramStart"/>
      <w:r w:rsidRPr="00021B25">
        <w:rPr>
          <w:rFonts w:ascii="Calibri" w:hAnsi="Calibri"/>
          <w:i/>
          <w:sz w:val="22"/>
          <w:lang w:val="en-US"/>
        </w:rPr>
        <w:t>án</w:t>
      </w:r>
      <w:proofErr w:type="gramEnd"/>
      <w:r w:rsidRPr="00021B25">
        <w:rPr>
          <w:rFonts w:ascii="Calibri" w:hAnsi="Calibri"/>
          <w:i/>
          <w:sz w:val="22"/>
          <w:lang w:val="en-US"/>
        </w:rPr>
        <w:t xml:space="preserve"> sẽ yêu cầu đơn vị đó sử dụng giống khác</w:t>
      </w:r>
      <w:r>
        <w:rPr>
          <w:rFonts w:ascii="Calibri" w:hAnsi="Calibri"/>
          <w:sz w:val="22"/>
          <w:lang w:val="en-US"/>
        </w:rPr>
        <w:t xml:space="preserve">”. Đồng thời, trong </w:t>
      </w:r>
      <w:r w:rsidR="008651CA">
        <w:rPr>
          <w:rFonts w:ascii="Calibri" w:hAnsi="Calibri"/>
          <w:sz w:val="22"/>
          <w:lang w:val="en-US"/>
        </w:rPr>
        <w:t>T</w:t>
      </w:r>
      <w:r>
        <w:rPr>
          <w:rFonts w:ascii="Calibri" w:hAnsi="Calibri"/>
          <w:sz w:val="22"/>
          <w:lang w:val="en-US"/>
        </w:rPr>
        <w:t>hư mời nộp đề xuất, trong các phần liên quan đã chỉ rõ rằng tính khả thi của công nghệ, việc nhân rộng thông qua tỉ lệ tiếp nhận</w:t>
      </w:r>
      <w:r w:rsidR="001717B0">
        <w:rPr>
          <w:rFonts w:ascii="Calibri" w:hAnsi="Calibri"/>
          <w:sz w:val="22"/>
          <w:lang w:val="en-US"/>
        </w:rPr>
        <w:t xml:space="preserve"> tự nguyện của nông hộ nhỏ và </w:t>
      </w:r>
      <w:r w:rsidR="008651CA">
        <w:rPr>
          <w:rFonts w:ascii="Calibri" w:hAnsi="Calibri"/>
          <w:sz w:val="22"/>
          <w:lang w:val="en-US"/>
        </w:rPr>
        <w:t>sử dụng</w:t>
      </w:r>
      <w:r w:rsidR="001717B0">
        <w:rPr>
          <w:rFonts w:ascii="Calibri" w:hAnsi="Calibri"/>
          <w:sz w:val="22"/>
          <w:lang w:val="en-US"/>
        </w:rPr>
        <w:t xml:space="preserve"> lặp lại công nghệ đóng vai trò lớn.</w:t>
      </w:r>
    </w:p>
    <w:p w:rsidR="00674CFC" w:rsidRPr="00FD7DEC" w:rsidRDefault="00674CFC" w:rsidP="00496C7C">
      <w:pPr>
        <w:spacing w:before="100" w:after="100" w:line="240" w:lineRule="auto"/>
        <w:jc w:val="both"/>
        <w:rPr>
          <w:rFonts w:ascii="Calibri" w:hAnsi="Calibri"/>
          <w:sz w:val="22"/>
          <w:lang w:val="en-US"/>
        </w:rPr>
      </w:pPr>
      <w:r w:rsidRPr="00674CFC">
        <w:rPr>
          <w:rFonts w:ascii="Calibri" w:hAnsi="Calibri"/>
          <w:b/>
          <w:sz w:val="22"/>
          <w:lang w:val="en-US"/>
        </w:rPr>
        <w:t>Câu hỏi 4:</w:t>
      </w:r>
      <w:r>
        <w:rPr>
          <w:rFonts w:ascii="Calibri" w:hAnsi="Calibri"/>
          <w:sz w:val="22"/>
          <w:lang w:val="en-US"/>
        </w:rPr>
        <w:t xml:space="preserve"> Có sự khác nhau giữa việc xử lý rơm hữu cơ và rơm không hữu cơ hay không?</w:t>
      </w:r>
    </w:p>
    <w:p w:rsidR="003C3A5F" w:rsidRPr="00FD7DEC" w:rsidRDefault="003C3A5F" w:rsidP="00496C7C">
      <w:pPr>
        <w:spacing w:before="100" w:after="100" w:line="240" w:lineRule="auto"/>
        <w:jc w:val="both"/>
        <w:rPr>
          <w:rFonts w:ascii="Calibri" w:hAnsi="Calibri"/>
          <w:sz w:val="22"/>
          <w:lang w:val="en-US"/>
        </w:rPr>
      </w:pPr>
      <w:r w:rsidRPr="008F4941">
        <w:rPr>
          <w:rFonts w:ascii="Calibri" w:hAnsi="Calibri"/>
          <w:b/>
          <w:sz w:val="22"/>
          <w:lang w:val="en-US"/>
        </w:rPr>
        <w:t>Trả lời câu hỏi 4</w:t>
      </w:r>
      <w:r>
        <w:rPr>
          <w:rFonts w:ascii="Calibri" w:hAnsi="Calibri"/>
          <w:sz w:val="22"/>
          <w:lang w:val="en-US"/>
        </w:rPr>
        <w:t xml:space="preserve">: Rơm hữu cơ hoặc rơm không hữu cơ là kết quả từ việc áp dụng công nghệ đề xuất của từng bên tham gia. Trong phạm trù dự </w:t>
      </w:r>
      <w:proofErr w:type="gramStart"/>
      <w:r>
        <w:rPr>
          <w:rFonts w:ascii="Calibri" w:hAnsi="Calibri"/>
          <w:sz w:val="22"/>
          <w:lang w:val="en-US"/>
        </w:rPr>
        <w:t>án</w:t>
      </w:r>
      <w:proofErr w:type="gramEnd"/>
      <w:r>
        <w:rPr>
          <w:rFonts w:ascii="Calibri" w:hAnsi="Calibri"/>
          <w:sz w:val="22"/>
          <w:lang w:val="en-US"/>
        </w:rPr>
        <w:t xml:space="preserve"> AVERP, yếu tố rơm hữu cơ và rơm không hữu cơ nằm ngoài phạm trù của 4 chỉ số chính để đo đạc, kiểm định và tính điểm để trao giải.</w:t>
      </w:r>
    </w:p>
    <w:p w:rsidR="008F4941" w:rsidRPr="00FD7DEC" w:rsidRDefault="008F4941" w:rsidP="00496C7C">
      <w:pPr>
        <w:spacing w:before="100" w:after="100" w:line="240" w:lineRule="auto"/>
        <w:jc w:val="both"/>
        <w:rPr>
          <w:rFonts w:ascii="Calibri" w:hAnsi="Calibri"/>
          <w:sz w:val="22"/>
          <w:lang w:val="en-US"/>
        </w:rPr>
      </w:pPr>
      <w:r w:rsidRPr="008F4941">
        <w:rPr>
          <w:rFonts w:ascii="Calibri" w:hAnsi="Calibri"/>
          <w:b/>
          <w:sz w:val="22"/>
          <w:lang w:val="en-US"/>
        </w:rPr>
        <w:t>Câu hỏi 5</w:t>
      </w:r>
      <w:r>
        <w:rPr>
          <w:rFonts w:ascii="Calibri" w:hAnsi="Calibri"/>
          <w:sz w:val="22"/>
          <w:lang w:val="en-US"/>
        </w:rPr>
        <w:t xml:space="preserve">: Làm cách nào để xác định kinh độ, </w:t>
      </w:r>
      <w:proofErr w:type="gramStart"/>
      <w:r>
        <w:rPr>
          <w:rFonts w:ascii="Calibri" w:hAnsi="Calibri"/>
          <w:sz w:val="22"/>
          <w:lang w:val="en-US"/>
        </w:rPr>
        <w:t>vĩ</w:t>
      </w:r>
      <w:proofErr w:type="gramEnd"/>
      <w:r>
        <w:rPr>
          <w:rFonts w:ascii="Calibri" w:hAnsi="Calibri"/>
          <w:sz w:val="22"/>
          <w:lang w:val="en-US"/>
        </w:rPr>
        <w:t xml:space="preserve"> độ và cao độ của ruộng trình diễn?</w:t>
      </w:r>
    </w:p>
    <w:p w:rsidR="008F4941" w:rsidRPr="00FD7DEC" w:rsidRDefault="008F4941" w:rsidP="00496C7C">
      <w:pPr>
        <w:spacing w:before="100" w:after="100" w:line="240" w:lineRule="auto"/>
        <w:jc w:val="both"/>
        <w:rPr>
          <w:rFonts w:ascii="Calibri" w:hAnsi="Calibri"/>
          <w:sz w:val="22"/>
          <w:lang w:val="en-US"/>
        </w:rPr>
      </w:pPr>
      <w:r w:rsidRPr="00475686">
        <w:rPr>
          <w:rFonts w:ascii="Calibri" w:hAnsi="Calibri"/>
          <w:b/>
          <w:sz w:val="22"/>
          <w:lang w:val="en-US"/>
        </w:rPr>
        <w:t>Trả lời câu hỏi 5</w:t>
      </w:r>
      <w:r>
        <w:rPr>
          <w:rFonts w:ascii="Calibri" w:hAnsi="Calibri"/>
          <w:sz w:val="22"/>
          <w:lang w:val="en-US"/>
        </w:rPr>
        <w:t>: Nếu bản đồ số không sẵn có tại địa phương, đơn vị tham gia có thể sử dụng la bàn từ điện thoại thông minh để xác định. Nếu không thể, đề nghị đưa thông tin hành chính chi tiết về địa bàn vào hồ sơ. Cơ quan Kiểm định sẽ xác định các thông số này.</w:t>
      </w:r>
    </w:p>
    <w:p w:rsidR="00475686" w:rsidRPr="00FD7DEC" w:rsidRDefault="00475686" w:rsidP="00496C7C">
      <w:pPr>
        <w:spacing w:before="100" w:after="100" w:line="240" w:lineRule="auto"/>
        <w:jc w:val="both"/>
        <w:rPr>
          <w:rFonts w:ascii="Calibri" w:hAnsi="Calibri"/>
          <w:sz w:val="22"/>
          <w:lang w:val="en-US"/>
        </w:rPr>
      </w:pPr>
      <w:r w:rsidRPr="00475686">
        <w:rPr>
          <w:rFonts w:ascii="Calibri" w:hAnsi="Calibri"/>
          <w:b/>
          <w:sz w:val="22"/>
          <w:lang w:val="en-US"/>
        </w:rPr>
        <w:t>Câu hỏ</w:t>
      </w:r>
      <w:r>
        <w:rPr>
          <w:rFonts w:ascii="Calibri" w:hAnsi="Calibri"/>
          <w:b/>
          <w:sz w:val="22"/>
          <w:lang w:val="en-US"/>
        </w:rPr>
        <w:t xml:space="preserve">i 6: </w:t>
      </w:r>
      <w:r w:rsidRPr="00475686">
        <w:rPr>
          <w:rFonts w:ascii="Calibri" w:hAnsi="Calibri"/>
          <w:sz w:val="22"/>
          <w:lang w:val="en-US"/>
        </w:rPr>
        <w:t>Tại sao</w:t>
      </w:r>
      <w:r>
        <w:rPr>
          <w:rFonts w:ascii="Calibri" w:hAnsi="Calibri"/>
          <w:sz w:val="22"/>
          <w:lang w:val="en-US"/>
        </w:rPr>
        <w:t xml:space="preserve"> diện tích tối thiểu của ruộng trình diễn là 1500 m2 cần có hai cạnh </w:t>
      </w:r>
      <w:r w:rsidRPr="00475686">
        <w:rPr>
          <w:rFonts w:ascii="Calibri" w:hAnsi="Calibri"/>
          <w:sz w:val="22"/>
          <w:lang w:val="en-US"/>
        </w:rPr>
        <w:t>30m x 30m</w:t>
      </w:r>
      <w:r>
        <w:rPr>
          <w:rFonts w:ascii="Calibri" w:hAnsi="Calibri"/>
          <w:sz w:val="22"/>
          <w:lang w:val="en-US"/>
        </w:rPr>
        <w:t>?</w:t>
      </w:r>
    </w:p>
    <w:p w:rsidR="00475686" w:rsidRPr="00475686" w:rsidRDefault="00475686" w:rsidP="00496C7C">
      <w:pPr>
        <w:spacing w:before="100" w:after="100" w:line="240" w:lineRule="auto"/>
        <w:jc w:val="both"/>
        <w:rPr>
          <w:rFonts w:ascii="Calibri" w:hAnsi="Calibri"/>
          <w:sz w:val="22"/>
          <w:lang w:val="en-US"/>
        </w:rPr>
      </w:pPr>
      <w:r w:rsidRPr="00475686">
        <w:rPr>
          <w:rFonts w:ascii="Calibri" w:hAnsi="Calibri"/>
          <w:b/>
          <w:sz w:val="22"/>
          <w:lang w:val="en-US"/>
        </w:rPr>
        <w:t>Trả lời câu hỏ</w:t>
      </w:r>
      <w:r>
        <w:rPr>
          <w:rFonts w:ascii="Calibri" w:hAnsi="Calibri"/>
          <w:b/>
          <w:sz w:val="22"/>
          <w:lang w:val="en-US"/>
        </w:rPr>
        <w:t xml:space="preserve">i 6: </w:t>
      </w:r>
      <w:r>
        <w:rPr>
          <w:rFonts w:ascii="Calibri" w:hAnsi="Calibri"/>
          <w:sz w:val="22"/>
          <w:lang w:val="en-US"/>
        </w:rPr>
        <w:t>R</w:t>
      </w:r>
      <w:r w:rsidRPr="00475686">
        <w:rPr>
          <w:rFonts w:ascii="Calibri" w:hAnsi="Calibri"/>
          <w:sz w:val="22"/>
          <w:lang w:val="en-US"/>
        </w:rPr>
        <w:t xml:space="preserve">uộng trình diễn 1500 m2 </w:t>
      </w:r>
      <w:r>
        <w:rPr>
          <w:rFonts w:ascii="Calibri" w:hAnsi="Calibri"/>
          <w:sz w:val="22"/>
          <w:lang w:val="en-US"/>
        </w:rPr>
        <w:t>với</w:t>
      </w:r>
      <w:r w:rsidRPr="00475686">
        <w:rPr>
          <w:rFonts w:ascii="Calibri" w:hAnsi="Calibri"/>
          <w:sz w:val="22"/>
          <w:lang w:val="en-US"/>
        </w:rPr>
        <w:t xml:space="preserve"> hai cạnh 30m x 30m</w:t>
      </w:r>
      <w:r>
        <w:rPr>
          <w:rFonts w:ascii="Calibri" w:hAnsi="Calibri"/>
          <w:sz w:val="22"/>
          <w:lang w:val="en-US"/>
        </w:rPr>
        <w:t xml:space="preserve"> nhằm đảm bảo độ phân giải cao nhất có thể cho hình ảnh chụp từ vệ tinh của ruộng trình diễn.</w:t>
      </w:r>
    </w:p>
    <w:p w:rsidR="00232464" w:rsidRPr="00232464" w:rsidRDefault="00232464" w:rsidP="00496C7C">
      <w:pPr>
        <w:spacing w:before="100" w:after="100" w:line="240" w:lineRule="auto"/>
        <w:jc w:val="both"/>
        <w:rPr>
          <w:rFonts w:ascii="Calibri" w:hAnsi="Calibri"/>
          <w:sz w:val="22"/>
          <w:lang w:val="en-US"/>
        </w:rPr>
      </w:pPr>
      <w:r w:rsidRPr="00232464">
        <w:rPr>
          <w:rFonts w:ascii="Calibri" w:hAnsi="Calibri"/>
          <w:b/>
          <w:sz w:val="22"/>
          <w:lang w:val="en-US"/>
        </w:rPr>
        <w:t>Câu hỏ</w:t>
      </w:r>
      <w:r>
        <w:rPr>
          <w:rFonts w:ascii="Calibri" w:hAnsi="Calibri"/>
          <w:b/>
          <w:sz w:val="22"/>
          <w:lang w:val="en-US"/>
        </w:rPr>
        <w:t xml:space="preserve">i 7: </w:t>
      </w:r>
      <w:r>
        <w:rPr>
          <w:rFonts w:ascii="Calibri" w:hAnsi="Calibri"/>
          <w:sz w:val="22"/>
          <w:lang w:val="en-US"/>
        </w:rPr>
        <w:t>Tôi có trang trại 50 ha làm một số mô hình: lúa – cá – vịt. Tôi có thể đăng ký tham gia cuộc thi không? Nếu cần, tôi có thể chia trang trại ra để phục vụ việc trồng lúa.</w:t>
      </w:r>
    </w:p>
    <w:p w:rsidR="00232464" w:rsidRPr="00232464" w:rsidRDefault="00232464" w:rsidP="00496C7C">
      <w:pPr>
        <w:spacing w:before="100" w:after="100" w:line="240" w:lineRule="auto"/>
        <w:jc w:val="both"/>
        <w:rPr>
          <w:rFonts w:ascii="Calibri" w:hAnsi="Calibri"/>
          <w:sz w:val="22"/>
          <w:lang w:val="en-US"/>
        </w:rPr>
      </w:pPr>
      <w:r w:rsidRPr="00232464">
        <w:rPr>
          <w:rFonts w:ascii="Calibri" w:hAnsi="Calibri"/>
          <w:b/>
          <w:sz w:val="22"/>
          <w:lang w:val="en-US"/>
        </w:rPr>
        <w:t>Trả lời câu hỏ</w:t>
      </w:r>
      <w:r>
        <w:rPr>
          <w:rFonts w:ascii="Calibri" w:hAnsi="Calibri"/>
          <w:b/>
          <w:sz w:val="22"/>
          <w:lang w:val="en-US"/>
        </w:rPr>
        <w:t xml:space="preserve">i 7: </w:t>
      </w:r>
      <w:r w:rsidR="00D128F6">
        <w:rPr>
          <w:rFonts w:ascii="Calibri" w:hAnsi="Calibri"/>
          <w:sz w:val="22"/>
          <w:lang w:val="en-US"/>
        </w:rPr>
        <w:t xml:space="preserve">Vui </w:t>
      </w:r>
      <w:r w:rsidR="00247C49">
        <w:rPr>
          <w:rFonts w:ascii="Calibri" w:hAnsi="Calibri"/>
          <w:sz w:val="22"/>
          <w:lang w:val="en-US"/>
        </w:rPr>
        <w:t>lò</w:t>
      </w:r>
      <w:r w:rsidR="00D128F6">
        <w:rPr>
          <w:rFonts w:ascii="Calibri" w:hAnsi="Calibri"/>
          <w:sz w:val="22"/>
          <w:lang w:val="en-US"/>
        </w:rPr>
        <w:t>ng xem lại m</w:t>
      </w:r>
      <w:r>
        <w:rPr>
          <w:rFonts w:ascii="Calibri" w:hAnsi="Calibri"/>
          <w:sz w:val="22"/>
          <w:lang w:val="en-US"/>
        </w:rPr>
        <w:t xml:space="preserve">ục </w:t>
      </w:r>
      <w:r w:rsidRPr="00D128F6">
        <w:rPr>
          <w:rFonts w:ascii="Calibri" w:hAnsi="Calibri"/>
          <w:b/>
          <w:sz w:val="22"/>
          <w:lang w:val="en-US"/>
        </w:rPr>
        <w:t>3.1</w:t>
      </w:r>
      <w:r w:rsidR="00D128F6" w:rsidRPr="00D128F6">
        <w:rPr>
          <w:rFonts w:ascii="Calibri" w:hAnsi="Calibri"/>
          <w:b/>
          <w:sz w:val="22"/>
          <w:lang w:val="en-US"/>
        </w:rPr>
        <w:t xml:space="preserve"> Tiêu chí hợp lệ</w:t>
      </w:r>
      <w:r w:rsidR="00D128F6">
        <w:rPr>
          <w:rFonts w:ascii="Calibri" w:hAnsi="Calibri"/>
          <w:sz w:val="22"/>
          <w:lang w:val="en-US"/>
        </w:rPr>
        <w:t xml:space="preserve"> của </w:t>
      </w:r>
      <w:r w:rsidR="00ED5AF5">
        <w:rPr>
          <w:rFonts w:ascii="Calibri" w:hAnsi="Calibri"/>
          <w:sz w:val="22"/>
          <w:lang w:val="en-US"/>
        </w:rPr>
        <w:t>T</w:t>
      </w:r>
      <w:r>
        <w:rPr>
          <w:rFonts w:ascii="Calibri" w:hAnsi="Calibri"/>
          <w:sz w:val="22"/>
          <w:lang w:val="en-US"/>
        </w:rPr>
        <w:t>hư mời nộp đề xuấ</w:t>
      </w:r>
      <w:r w:rsidR="00D128F6">
        <w:rPr>
          <w:rFonts w:ascii="Calibri" w:hAnsi="Calibri"/>
          <w:sz w:val="22"/>
          <w:lang w:val="en-US"/>
        </w:rPr>
        <w:t xml:space="preserve">t. Lưu ý rằng, trong giai đoạn 2 của cuộc thi, việc </w:t>
      </w:r>
      <w:r w:rsidR="00247C49">
        <w:rPr>
          <w:rFonts w:ascii="Calibri" w:hAnsi="Calibri"/>
          <w:sz w:val="22"/>
          <w:lang w:val="en-US"/>
        </w:rPr>
        <w:t>ứng dụng kỹ thuật đề xuất trên quy mô lớn và các nông hộ nhỏ sử dụng lặp lại công nghệ là các yếu tố quan trọng.</w:t>
      </w:r>
    </w:p>
    <w:p w:rsidR="00C458BE" w:rsidRPr="00FD7DEC" w:rsidRDefault="009451EB" w:rsidP="009451EB">
      <w:pPr>
        <w:tabs>
          <w:tab w:val="left" w:pos="2040"/>
        </w:tabs>
        <w:spacing w:before="100" w:after="100" w:line="240" w:lineRule="auto"/>
        <w:jc w:val="both"/>
        <w:rPr>
          <w:rFonts w:ascii="Calibri" w:hAnsi="Calibri"/>
          <w:sz w:val="22"/>
          <w:lang w:val="en-US"/>
        </w:rPr>
      </w:pPr>
      <w:r>
        <w:rPr>
          <w:rFonts w:ascii="Calibri" w:hAnsi="Calibri"/>
          <w:sz w:val="22"/>
          <w:lang w:val="en-US"/>
        </w:rPr>
        <w:t xml:space="preserve">Ban tổ chức thông báo tới toàn thể đại biểu thời hạn gửi câu hỏi đã kết thúc. </w:t>
      </w:r>
      <w:r w:rsidR="00C458BE">
        <w:rPr>
          <w:rFonts w:ascii="Calibri" w:hAnsi="Calibri"/>
          <w:sz w:val="22"/>
          <w:lang w:val="en-US"/>
        </w:rPr>
        <w:t xml:space="preserve">Các đơn vị quan tâm vui lòng nộp Hồ sơ kỹ thuật, bản tiếng Việt và tiếng Anh (nếu có thể), tới địa chỉ email: </w:t>
      </w:r>
      <w:hyperlink r:id="rId8" w:history="1">
        <w:r w:rsidR="00C458BE" w:rsidRPr="00C458BE">
          <w:rPr>
            <w:rStyle w:val="Hyperlink"/>
            <w:rFonts w:ascii="Calibri" w:hAnsi="Calibri"/>
            <w:sz w:val="22"/>
            <w:lang w:val="en-US"/>
          </w:rPr>
          <w:t>infoAgResults@snv.org</w:t>
        </w:r>
      </w:hyperlink>
      <w:r w:rsidR="00C458BE">
        <w:rPr>
          <w:rFonts w:ascii="Calibri" w:hAnsi="Calibri"/>
          <w:sz w:val="22"/>
          <w:lang w:val="en-US"/>
        </w:rPr>
        <w:t xml:space="preserve"> muộn nhất vào 17h00 ngày 28 tháng 4 năm 2017. Đồng thời gửi một bản cứng với đầy đủ chữ ký qua đường bưu điện tới địa chỉ:</w:t>
      </w:r>
    </w:p>
    <w:p w:rsidR="00C458BE" w:rsidRDefault="00C458BE" w:rsidP="00474C3F">
      <w:pPr>
        <w:tabs>
          <w:tab w:val="left" w:pos="360"/>
        </w:tabs>
        <w:jc w:val="center"/>
        <w:rPr>
          <w:b/>
          <w:bCs/>
          <w:sz w:val="22"/>
        </w:rPr>
      </w:pPr>
      <w:r>
        <w:rPr>
          <w:b/>
          <w:bCs/>
          <w:sz w:val="22"/>
        </w:rPr>
        <w:t>Văn phòng SNV Việt Nam</w:t>
      </w:r>
    </w:p>
    <w:p w:rsidR="00C458BE" w:rsidRPr="002F2991" w:rsidRDefault="00C458BE" w:rsidP="00474C3F">
      <w:pPr>
        <w:tabs>
          <w:tab w:val="left" w:pos="360"/>
        </w:tabs>
        <w:jc w:val="center"/>
        <w:rPr>
          <w:b/>
          <w:bCs/>
          <w:sz w:val="22"/>
          <w:lang w:val="en-US"/>
        </w:rPr>
      </w:pPr>
      <w:r w:rsidRPr="002F2991">
        <w:rPr>
          <w:b/>
          <w:bCs/>
          <w:sz w:val="22"/>
          <w:lang w:val="en-US"/>
        </w:rPr>
        <w:t>Tầng 3, nhà D, khách sạn La Thành</w:t>
      </w:r>
    </w:p>
    <w:p w:rsidR="00C458BE" w:rsidRPr="002F2991" w:rsidRDefault="00C458BE" w:rsidP="00474C3F">
      <w:pPr>
        <w:tabs>
          <w:tab w:val="left" w:pos="360"/>
        </w:tabs>
        <w:jc w:val="center"/>
        <w:rPr>
          <w:b/>
          <w:bCs/>
          <w:sz w:val="22"/>
          <w:lang w:val="en-US"/>
        </w:rPr>
      </w:pPr>
      <w:r w:rsidRPr="002F2991">
        <w:rPr>
          <w:b/>
          <w:bCs/>
          <w:sz w:val="22"/>
          <w:lang w:val="en-US"/>
        </w:rPr>
        <w:t>218 Đội Cấn, Ba Đình, Hà Nội</w:t>
      </w:r>
      <w:r w:rsidR="001F2982" w:rsidRPr="002F2991">
        <w:rPr>
          <w:b/>
          <w:bCs/>
          <w:sz w:val="22"/>
          <w:lang w:val="en-US"/>
        </w:rPr>
        <w:t>, Việt Nam</w:t>
      </w:r>
    </w:p>
    <w:p w:rsidR="00474C3F" w:rsidRPr="002F2991" w:rsidRDefault="00474C3F" w:rsidP="00496C7C">
      <w:pPr>
        <w:spacing w:before="100" w:after="100" w:line="240" w:lineRule="auto"/>
        <w:jc w:val="both"/>
        <w:rPr>
          <w:rFonts w:ascii="Calibri" w:hAnsi="Calibri"/>
          <w:sz w:val="22"/>
          <w:lang w:val="en-US"/>
        </w:rPr>
      </w:pPr>
    </w:p>
    <w:sectPr w:rsidR="00474C3F" w:rsidRPr="002F29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B07C6"/>
    <w:multiLevelType w:val="hybridMultilevel"/>
    <w:tmpl w:val="E5B26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1215F5"/>
    <w:multiLevelType w:val="hybridMultilevel"/>
    <w:tmpl w:val="757A3B84"/>
    <w:lvl w:ilvl="0" w:tplc="A3D23B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16F67"/>
    <w:multiLevelType w:val="hybridMultilevel"/>
    <w:tmpl w:val="92507328"/>
    <w:lvl w:ilvl="0" w:tplc="28DA9F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F73398"/>
    <w:multiLevelType w:val="hybridMultilevel"/>
    <w:tmpl w:val="399ED0B8"/>
    <w:lvl w:ilvl="0" w:tplc="B68220CA">
      <w:start w:val="1"/>
      <w:numFmt w:val="bullet"/>
      <w:lvlText w:val=""/>
      <w:lvlJc w:val="left"/>
      <w:pPr>
        <w:ind w:left="720" w:hanging="360"/>
      </w:pPr>
      <w:rPr>
        <w:rFonts w:ascii="Symbol" w:hAnsi="Symbol" w:hint="default"/>
      </w:rPr>
    </w:lvl>
    <w:lvl w:ilvl="1" w:tplc="4A364B38" w:tentative="1">
      <w:start w:val="1"/>
      <w:numFmt w:val="bullet"/>
      <w:lvlText w:val="o"/>
      <w:lvlJc w:val="left"/>
      <w:pPr>
        <w:ind w:left="1440" w:hanging="360"/>
      </w:pPr>
      <w:rPr>
        <w:rFonts w:ascii="Courier New" w:hAnsi="Courier New" w:cs="Courier New" w:hint="default"/>
      </w:rPr>
    </w:lvl>
    <w:lvl w:ilvl="2" w:tplc="34D40996" w:tentative="1">
      <w:start w:val="1"/>
      <w:numFmt w:val="bullet"/>
      <w:lvlText w:val=""/>
      <w:lvlJc w:val="left"/>
      <w:pPr>
        <w:ind w:left="2160" w:hanging="360"/>
      </w:pPr>
      <w:rPr>
        <w:rFonts w:ascii="Wingdings" w:hAnsi="Wingdings" w:hint="default"/>
      </w:rPr>
    </w:lvl>
    <w:lvl w:ilvl="3" w:tplc="34227AFA" w:tentative="1">
      <w:start w:val="1"/>
      <w:numFmt w:val="bullet"/>
      <w:lvlText w:val=""/>
      <w:lvlJc w:val="left"/>
      <w:pPr>
        <w:ind w:left="2880" w:hanging="360"/>
      </w:pPr>
      <w:rPr>
        <w:rFonts w:ascii="Symbol" w:hAnsi="Symbol" w:hint="default"/>
      </w:rPr>
    </w:lvl>
    <w:lvl w:ilvl="4" w:tplc="5FE09884" w:tentative="1">
      <w:start w:val="1"/>
      <w:numFmt w:val="bullet"/>
      <w:lvlText w:val="o"/>
      <w:lvlJc w:val="left"/>
      <w:pPr>
        <w:ind w:left="3600" w:hanging="360"/>
      </w:pPr>
      <w:rPr>
        <w:rFonts w:ascii="Courier New" w:hAnsi="Courier New" w:cs="Courier New" w:hint="default"/>
      </w:rPr>
    </w:lvl>
    <w:lvl w:ilvl="5" w:tplc="7998358C" w:tentative="1">
      <w:start w:val="1"/>
      <w:numFmt w:val="bullet"/>
      <w:lvlText w:val=""/>
      <w:lvlJc w:val="left"/>
      <w:pPr>
        <w:ind w:left="4320" w:hanging="360"/>
      </w:pPr>
      <w:rPr>
        <w:rFonts w:ascii="Wingdings" w:hAnsi="Wingdings" w:hint="default"/>
      </w:rPr>
    </w:lvl>
    <w:lvl w:ilvl="6" w:tplc="84D46216" w:tentative="1">
      <w:start w:val="1"/>
      <w:numFmt w:val="bullet"/>
      <w:lvlText w:val=""/>
      <w:lvlJc w:val="left"/>
      <w:pPr>
        <w:ind w:left="5040" w:hanging="360"/>
      </w:pPr>
      <w:rPr>
        <w:rFonts w:ascii="Symbol" w:hAnsi="Symbol" w:hint="default"/>
      </w:rPr>
    </w:lvl>
    <w:lvl w:ilvl="7" w:tplc="5F0E00F0" w:tentative="1">
      <w:start w:val="1"/>
      <w:numFmt w:val="bullet"/>
      <w:lvlText w:val="o"/>
      <w:lvlJc w:val="left"/>
      <w:pPr>
        <w:ind w:left="5760" w:hanging="360"/>
      </w:pPr>
      <w:rPr>
        <w:rFonts w:ascii="Courier New" w:hAnsi="Courier New" w:cs="Courier New" w:hint="default"/>
      </w:rPr>
    </w:lvl>
    <w:lvl w:ilvl="8" w:tplc="74A8B91A" w:tentative="1">
      <w:start w:val="1"/>
      <w:numFmt w:val="bullet"/>
      <w:lvlText w:val=""/>
      <w:lvlJc w:val="left"/>
      <w:pPr>
        <w:ind w:left="6480" w:hanging="360"/>
      </w:pPr>
      <w:rPr>
        <w:rFonts w:ascii="Wingdings" w:hAnsi="Wingdings" w:hint="default"/>
      </w:rPr>
    </w:lvl>
  </w:abstractNum>
  <w:abstractNum w:abstractNumId="5" w15:restartNumberingAfterBreak="0">
    <w:nsid w:val="755D42DA"/>
    <w:multiLevelType w:val="hybridMultilevel"/>
    <w:tmpl w:val="B734C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D2"/>
    <w:rsid w:val="00004E98"/>
    <w:rsid w:val="000201BA"/>
    <w:rsid w:val="00021B25"/>
    <w:rsid w:val="00052AEF"/>
    <w:rsid w:val="00072431"/>
    <w:rsid w:val="001075D1"/>
    <w:rsid w:val="001241B6"/>
    <w:rsid w:val="00124718"/>
    <w:rsid w:val="001314D2"/>
    <w:rsid w:val="001717B0"/>
    <w:rsid w:val="00171E66"/>
    <w:rsid w:val="001A4B83"/>
    <w:rsid w:val="001D3627"/>
    <w:rsid w:val="001F2982"/>
    <w:rsid w:val="00232464"/>
    <w:rsid w:val="00247C49"/>
    <w:rsid w:val="0025416A"/>
    <w:rsid w:val="00267098"/>
    <w:rsid w:val="002914F3"/>
    <w:rsid w:val="002F1042"/>
    <w:rsid w:val="002F2991"/>
    <w:rsid w:val="00315779"/>
    <w:rsid w:val="0033040A"/>
    <w:rsid w:val="0035012F"/>
    <w:rsid w:val="00371FA9"/>
    <w:rsid w:val="003A00BB"/>
    <w:rsid w:val="003A055B"/>
    <w:rsid w:val="003A4B02"/>
    <w:rsid w:val="003B2215"/>
    <w:rsid w:val="003C3A5F"/>
    <w:rsid w:val="003E3A74"/>
    <w:rsid w:val="00413906"/>
    <w:rsid w:val="004534E5"/>
    <w:rsid w:val="004603C5"/>
    <w:rsid w:val="00474C3F"/>
    <w:rsid w:val="00475686"/>
    <w:rsid w:val="00487C90"/>
    <w:rsid w:val="00496C7C"/>
    <w:rsid w:val="00542260"/>
    <w:rsid w:val="00586853"/>
    <w:rsid w:val="005C48BB"/>
    <w:rsid w:val="005D443F"/>
    <w:rsid w:val="00603178"/>
    <w:rsid w:val="00670F0A"/>
    <w:rsid w:val="00674CFC"/>
    <w:rsid w:val="006B22C2"/>
    <w:rsid w:val="007061FA"/>
    <w:rsid w:val="00761429"/>
    <w:rsid w:val="00785D4B"/>
    <w:rsid w:val="007D31E6"/>
    <w:rsid w:val="007D6287"/>
    <w:rsid w:val="00830968"/>
    <w:rsid w:val="00831982"/>
    <w:rsid w:val="008651CA"/>
    <w:rsid w:val="00865315"/>
    <w:rsid w:val="008E028A"/>
    <w:rsid w:val="008F4941"/>
    <w:rsid w:val="008F6F2A"/>
    <w:rsid w:val="00931636"/>
    <w:rsid w:val="009451EB"/>
    <w:rsid w:val="00A05A1F"/>
    <w:rsid w:val="00A17283"/>
    <w:rsid w:val="00A32C33"/>
    <w:rsid w:val="00A42B67"/>
    <w:rsid w:val="00A430D6"/>
    <w:rsid w:val="00A62195"/>
    <w:rsid w:val="00AC5F96"/>
    <w:rsid w:val="00B233DD"/>
    <w:rsid w:val="00B71C0D"/>
    <w:rsid w:val="00B834FD"/>
    <w:rsid w:val="00B85EC8"/>
    <w:rsid w:val="00B92010"/>
    <w:rsid w:val="00BD0727"/>
    <w:rsid w:val="00BE0107"/>
    <w:rsid w:val="00C05B7F"/>
    <w:rsid w:val="00C458BE"/>
    <w:rsid w:val="00C577F2"/>
    <w:rsid w:val="00C62A82"/>
    <w:rsid w:val="00D128F6"/>
    <w:rsid w:val="00D45389"/>
    <w:rsid w:val="00D97C30"/>
    <w:rsid w:val="00DB6519"/>
    <w:rsid w:val="00DC18AB"/>
    <w:rsid w:val="00DE7E6B"/>
    <w:rsid w:val="00E15123"/>
    <w:rsid w:val="00E2523B"/>
    <w:rsid w:val="00E76F9E"/>
    <w:rsid w:val="00EC3A6E"/>
    <w:rsid w:val="00EC4704"/>
    <w:rsid w:val="00EC53BA"/>
    <w:rsid w:val="00ED5AF5"/>
    <w:rsid w:val="00F22B38"/>
    <w:rsid w:val="00F52E45"/>
    <w:rsid w:val="00FB00BA"/>
    <w:rsid w:val="00FC2D29"/>
    <w:rsid w:val="00FD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7DAAE-27A4-45BB-8919-64FFCFDB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D2"/>
    <w:pPr>
      <w:spacing w:after="240" w:line="240" w:lineRule="atLeast"/>
    </w:pPr>
    <w:rPr>
      <w:rFonts w:asciiTheme="minorHAnsi" w:eastAsiaTheme="minorHAnsi" w:hAnsiTheme="minorHAnsi" w:cstheme="minorBidi"/>
      <w:sz w:val="17"/>
      <w:szCs w:val="22"/>
      <w:lang w:val="en-GB"/>
    </w:rPr>
  </w:style>
  <w:style w:type="paragraph" w:styleId="Heading1">
    <w:name w:val="heading 1"/>
    <w:basedOn w:val="Normal"/>
    <w:next w:val="Normal"/>
    <w:link w:val="Heading1Char"/>
    <w:uiPriority w:val="9"/>
    <w:qFormat/>
    <w:rsid w:val="008F6F2A"/>
    <w:pPr>
      <w:keepNext/>
      <w:keepLines/>
      <w:spacing w:before="480" w:after="0"/>
      <w:outlineLvl w:val="0"/>
    </w:pPr>
    <w:rPr>
      <w:rFonts w:asciiTheme="majorHAnsi" w:eastAsia="Times New Roman" w:hAnsiTheme="majorHAnsi"/>
      <w:b/>
      <w:bCs/>
      <w:color w:val="744C28" w:themeColor="accent1"/>
      <w:sz w:val="28"/>
      <w:szCs w:val="28"/>
    </w:rPr>
  </w:style>
  <w:style w:type="paragraph" w:styleId="Heading2">
    <w:name w:val="heading 2"/>
    <w:basedOn w:val="Heading1"/>
    <w:next w:val="Normal"/>
    <w:link w:val="Heading2Char"/>
    <w:uiPriority w:val="9"/>
    <w:unhideWhenUsed/>
    <w:qFormat/>
    <w:rsid w:val="008F6F2A"/>
    <w:pPr>
      <w:outlineLvl w:val="1"/>
    </w:pPr>
    <w:rPr>
      <w:color w:val="84B44E" w:themeColor="accent2"/>
    </w:rPr>
  </w:style>
  <w:style w:type="paragraph" w:styleId="Heading3">
    <w:name w:val="heading 3"/>
    <w:basedOn w:val="Normal"/>
    <w:next w:val="Normal"/>
    <w:link w:val="Heading3Char"/>
    <w:uiPriority w:val="9"/>
    <w:semiHidden/>
    <w:unhideWhenUsed/>
    <w:qFormat/>
    <w:rsid w:val="008F6F2A"/>
    <w:pPr>
      <w:keepNext/>
      <w:spacing w:before="240" w:after="60"/>
      <w:outlineLvl w:val="2"/>
    </w:pPr>
    <w:rPr>
      <w:rFonts w:asciiTheme="majorHAnsi" w:eastAsia="Times New Roman" w:hAnsiTheme="majorHAnsi"/>
      <w:b/>
      <w:bCs/>
      <w:color w:val="744C28" w:themeColor="accent1"/>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931636"/>
    <w:pPr>
      <w:pBdr>
        <w:bottom w:val="single" w:sz="8" w:space="4" w:color="744C28" w:themeColor="accent1"/>
      </w:pBdr>
      <w:spacing w:after="300"/>
      <w:contextualSpacing/>
    </w:pPr>
    <w:rPr>
      <w:rFonts w:asciiTheme="majorHAnsi" w:eastAsiaTheme="majorEastAsia" w:hAnsiTheme="majorHAnsi" w:cstheme="majorBidi"/>
      <w:color w:val="56381E" w:themeColor="text2" w:themeShade="BF"/>
      <w:spacing w:val="5"/>
      <w:kern w:val="28"/>
      <w:sz w:val="52"/>
      <w:szCs w:val="52"/>
    </w:rPr>
  </w:style>
  <w:style w:type="character" w:customStyle="1" w:styleId="TitleChar">
    <w:name w:val="Title Char"/>
    <w:basedOn w:val="DefaultParagraphFont"/>
    <w:link w:val="Title"/>
    <w:uiPriority w:val="10"/>
    <w:rsid w:val="00931636"/>
    <w:rPr>
      <w:rFonts w:asciiTheme="majorHAnsi" w:eastAsiaTheme="majorEastAsia" w:hAnsiTheme="majorHAnsi" w:cstheme="majorBidi"/>
      <w:color w:val="56381E" w:themeColor="text2" w:themeShade="BF"/>
      <w:spacing w:val="5"/>
      <w:kern w:val="28"/>
      <w:sz w:val="52"/>
      <w:szCs w:val="52"/>
    </w:rPr>
  </w:style>
  <w:style w:type="character" w:customStyle="1" w:styleId="Heading1Char">
    <w:name w:val="Heading 1 Char"/>
    <w:link w:val="Heading1"/>
    <w:uiPriority w:val="9"/>
    <w:rsid w:val="008F6F2A"/>
    <w:rPr>
      <w:rFonts w:asciiTheme="majorHAnsi" w:eastAsia="Times New Roman" w:hAnsiTheme="majorHAnsi"/>
      <w:b/>
      <w:bCs/>
      <w:color w:val="744C28" w:themeColor="accent1"/>
      <w:sz w:val="28"/>
      <w:szCs w:val="28"/>
    </w:rPr>
  </w:style>
  <w:style w:type="character" w:customStyle="1" w:styleId="Heading2Char">
    <w:name w:val="Heading 2 Char"/>
    <w:link w:val="Heading2"/>
    <w:uiPriority w:val="9"/>
    <w:rsid w:val="008F6F2A"/>
    <w:rPr>
      <w:rFonts w:asciiTheme="majorHAnsi" w:eastAsia="Times New Roman" w:hAnsiTheme="majorHAnsi"/>
      <w:b/>
      <w:bCs/>
      <w:color w:val="84B44E" w:themeColor="accent2"/>
      <w:sz w:val="28"/>
      <w:szCs w:val="28"/>
    </w:rPr>
  </w:style>
  <w:style w:type="character" w:customStyle="1" w:styleId="Heading3Char">
    <w:name w:val="Heading 3 Char"/>
    <w:link w:val="Heading3"/>
    <w:uiPriority w:val="9"/>
    <w:semiHidden/>
    <w:rsid w:val="008F6F2A"/>
    <w:rPr>
      <w:rFonts w:asciiTheme="majorHAnsi" w:eastAsia="Times New Roman" w:hAnsiTheme="majorHAnsi"/>
      <w:b/>
      <w:bCs/>
      <w:color w:val="744C28" w:themeColor="accent1"/>
      <w:sz w:val="24"/>
      <w:szCs w:val="26"/>
    </w:rPr>
  </w:style>
  <w:style w:type="paragraph" w:styleId="NoSpacing">
    <w:name w:val="No Spacing"/>
    <w:link w:val="NoSpacingChar"/>
    <w:uiPriority w:val="1"/>
    <w:qFormat/>
    <w:rsid w:val="008F6F2A"/>
    <w:rPr>
      <w:rFonts w:eastAsia="MS Mincho" w:cs="Arial"/>
      <w:sz w:val="22"/>
      <w:szCs w:val="22"/>
      <w:lang w:eastAsia="ja-JP"/>
    </w:rPr>
  </w:style>
  <w:style w:type="character" w:customStyle="1" w:styleId="NoSpacingChar">
    <w:name w:val="No Spacing Char"/>
    <w:link w:val="NoSpacing"/>
    <w:uiPriority w:val="1"/>
    <w:rsid w:val="008F6F2A"/>
    <w:rPr>
      <w:rFonts w:eastAsia="MS Mincho" w:cs="Arial"/>
      <w:sz w:val="22"/>
      <w:szCs w:val="22"/>
      <w:lang w:eastAsia="ja-JP"/>
    </w:rPr>
  </w:style>
  <w:style w:type="paragraph" w:styleId="ListParagraph">
    <w:name w:val="List Paragraph"/>
    <w:aliases w:val="Ha,List Paragraph1,Resume Title"/>
    <w:basedOn w:val="Normal"/>
    <w:link w:val="ListParagraphChar"/>
    <w:uiPriority w:val="34"/>
    <w:qFormat/>
    <w:rsid w:val="008F6F2A"/>
    <w:pPr>
      <w:ind w:left="720"/>
      <w:contextualSpacing/>
    </w:pPr>
  </w:style>
  <w:style w:type="paragraph" w:styleId="TOCHeading">
    <w:name w:val="TOC Heading"/>
    <w:basedOn w:val="Heading1"/>
    <w:next w:val="Normal"/>
    <w:uiPriority w:val="39"/>
    <w:semiHidden/>
    <w:unhideWhenUsed/>
    <w:qFormat/>
    <w:rsid w:val="008F6F2A"/>
    <w:pPr>
      <w:outlineLvl w:val="9"/>
    </w:pPr>
    <w:rPr>
      <w:rFonts w:eastAsia="MS Gothic"/>
      <w:color w:val="365F91"/>
      <w:lang w:eastAsia="ja-JP"/>
    </w:rPr>
  </w:style>
  <w:style w:type="paragraph" w:styleId="Subtitle">
    <w:name w:val="Subtitle"/>
    <w:basedOn w:val="Normal"/>
    <w:next w:val="Normal"/>
    <w:link w:val="SubtitleChar"/>
    <w:uiPriority w:val="11"/>
    <w:qFormat/>
    <w:rsid w:val="008F6F2A"/>
    <w:pPr>
      <w:numPr>
        <w:ilvl w:val="1"/>
      </w:numPr>
    </w:pPr>
    <w:rPr>
      <w:rFonts w:asciiTheme="majorHAnsi" w:eastAsiaTheme="majorEastAsia" w:hAnsiTheme="majorHAnsi" w:cstheme="majorBidi"/>
      <w:b/>
      <w:iCs/>
      <w:color w:val="84B44E" w:themeColor="accent2"/>
      <w:spacing w:val="15"/>
      <w:sz w:val="20"/>
      <w:szCs w:val="24"/>
    </w:rPr>
  </w:style>
  <w:style w:type="character" w:customStyle="1" w:styleId="SubtitleChar">
    <w:name w:val="Subtitle Char"/>
    <w:basedOn w:val="DefaultParagraphFont"/>
    <w:link w:val="Subtitle"/>
    <w:uiPriority w:val="11"/>
    <w:rsid w:val="008F6F2A"/>
    <w:rPr>
      <w:rFonts w:asciiTheme="majorHAnsi" w:eastAsiaTheme="majorEastAsia" w:hAnsiTheme="majorHAnsi" w:cstheme="majorBidi"/>
      <w:b/>
      <w:iCs/>
      <w:color w:val="84B44E" w:themeColor="accent2"/>
      <w:spacing w:val="15"/>
      <w:szCs w:val="24"/>
    </w:rPr>
  </w:style>
  <w:style w:type="character" w:styleId="SubtleEmphasis">
    <w:name w:val="Subtle Emphasis"/>
    <w:aliases w:val="Subtitle 2"/>
    <w:basedOn w:val="SubtitleChar"/>
    <w:uiPriority w:val="19"/>
    <w:qFormat/>
    <w:rsid w:val="008F6F2A"/>
    <w:rPr>
      <w:rFonts w:asciiTheme="majorHAnsi" w:eastAsiaTheme="majorEastAsia" w:hAnsiTheme="majorHAnsi" w:cstheme="majorBidi"/>
      <w:b/>
      <w:i w:val="0"/>
      <w:iCs/>
      <w:color w:val="744C28" w:themeColor="accent1"/>
      <w:spacing w:val="15"/>
      <w:sz w:val="20"/>
      <w:szCs w:val="24"/>
    </w:rPr>
  </w:style>
  <w:style w:type="character" w:styleId="Hyperlink">
    <w:name w:val="Hyperlink"/>
    <w:basedOn w:val="DefaultParagraphFont"/>
    <w:uiPriority w:val="99"/>
    <w:unhideWhenUsed/>
    <w:rsid w:val="001314D2"/>
    <w:rPr>
      <w:color w:val="0000FF" w:themeColor="hyperlink"/>
      <w:u w:val="single"/>
    </w:rPr>
  </w:style>
  <w:style w:type="character" w:customStyle="1" w:styleId="ListParagraphChar">
    <w:name w:val="List Paragraph Char"/>
    <w:aliases w:val="Ha Char,List Paragraph1 Char,Resume Title Char"/>
    <w:link w:val="ListParagraph"/>
    <w:uiPriority w:val="34"/>
    <w:rsid w:val="006B22C2"/>
    <w:rPr>
      <w:rFonts w:asciiTheme="minorHAnsi" w:eastAsiaTheme="minorHAnsi" w:hAnsiTheme="minorHAnsi" w:cstheme="minorBidi"/>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esults@snv.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20thi%20thuy%20van\Documents\Do%20Thi%20Thuy%20Van\Guides%20and%20templates\MS%20word%20document%20template.dotx" TargetMode="External"/></Relationships>
</file>

<file path=word/theme/theme1.xml><?xml version="1.0" encoding="utf-8"?>
<a:theme xmlns:a="http://schemas.openxmlformats.org/drawingml/2006/main" name="AgResults Branded">
  <a:themeElements>
    <a:clrScheme name="AgResults Branded">
      <a:dk1>
        <a:sysClr val="windowText" lastClr="000000"/>
      </a:dk1>
      <a:lt1>
        <a:sysClr val="window" lastClr="FFFFFF"/>
      </a:lt1>
      <a:dk2>
        <a:srgbClr val="744C28"/>
      </a:dk2>
      <a:lt2>
        <a:srgbClr val="84B44E"/>
      </a:lt2>
      <a:accent1>
        <a:srgbClr val="744C28"/>
      </a:accent1>
      <a:accent2>
        <a:srgbClr val="84B44E"/>
      </a:accent2>
      <a:accent3>
        <a:srgbClr val="D06427"/>
      </a:accent3>
      <a:accent4>
        <a:srgbClr val="A28F83"/>
      </a:accent4>
      <a:accent5>
        <a:srgbClr val="CEDBB6"/>
      </a:accent5>
      <a:accent6>
        <a:srgbClr val="E6A17A"/>
      </a:accent6>
      <a:hlink>
        <a:srgbClr val="0000FF"/>
      </a:hlink>
      <a:folHlink>
        <a:srgbClr val="800080"/>
      </a:folHlink>
    </a:clrScheme>
    <a:fontScheme name="AgResults Branded">
      <a:majorFont>
        <a:latin typeface="Leelawadee"/>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4F42B4FC6FA4DA84FA69EE5757766" ma:contentTypeVersion="0" ma:contentTypeDescription="Create a new document." ma:contentTypeScope="" ma:versionID="58ff81d28e32ac0b01aa18efe303fe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B5483-7294-4935-A5D7-BE6B3AC1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3541DB-15C4-4CF5-8E41-6A373464536D}">
  <ds:schemaRefs>
    <ds:schemaRef ds:uri="http://schemas.microsoft.com/sharepoint/v3/contenttype/forms"/>
  </ds:schemaRefs>
</ds:datastoreItem>
</file>

<file path=customXml/itemProps3.xml><?xml version="1.0" encoding="utf-8"?>
<ds:datastoreItem xmlns:ds="http://schemas.openxmlformats.org/officeDocument/2006/customXml" ds:itemID="{6F361670-F796-4D9F-923F-9653676FC8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MS word document template.dotx</Template>
  <TotalTime>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Thuy Van</dc:creator>
  <cp:lastModifiedBy>Tran Thu Ha</cp:lastModifiedBy>
  <cp:revision>3</cp:revision>
  <dcterms:created xsi:type="dcterms:W3CDTF">2017-04-13T09:11:00Z</dcterms:created>
  <dcterms:modified xsi:type="dcterms:W3CDTF">2017-04-17T05:33:00Z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0x0101000474F42B4FC6FA4DA84FA69EE5757766</vt:lpwstr>
  </property>
</Properties>
</file>